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F2B3B"/>
          <w:sz w:val="40"/>
        </w:rPr>
        <w:t>Begin, My Tongue, Some Heavenly Theme</w:t>
      </w:r>
    </w:p>
    <w:p>
      <w:pPr>
        <w:jc w:val="center"/>
      </w:pPr>
      <w:r>
        <w:rPr>
          <w:rFonts w:ascii="Aptos" w:hAnsi="Aptos"/>
          <w:color w:val="6E4E29"/>
          <w:sz w:val="20"/>
        </w:rPr>
        <w:t>Small Group Handout</w:t>
      </w:r>
    </w:p>
    <w:p>
      <w:pPr>
        <w:spacing w:after="80" w:line="245" w:lineRule="auto"/>
      </w:pPr>
      <w:r>
        <w:rPr>
          <w:rFonts w:ascii="Aptos" w:hAnsi="Aptos"/>
          <w:b w:val="0"/>
          <w:color w:val="2D2D2D"/>
          <w:sz w:val="19"/>
        </w:rPr>
        <w:t>Purpose: to help a group hear Isaac Watts’s hymn as a call to praise God for his faithful word, trustworthy promises, and sustaining grace.</w:t>
      </w:r>
    </w:p>
    <w:p>
      <w:pPr>
        <w:pStyle w:val="Heading1"/>
        <w:spacing w:before="140" w:after="60"/>
      </w:pPr>
      <w:r>
        <w:rPr>
          <w:rFonts w:ascii="Georgia" w:hAnsi="Georgia"/>
          <w:b/>
          <w:color w:val="1F2B3B"/>
          <w:sz w:val="28"/>
        </w:rPr>
        <w:t>Opening Reflection</w:t>
      </w:r>
    </w:p>
    <w:p>
      <w:pPr>
        <w:pStyle w:val="ListBullet"/>
        <w:spacing w:after="40" w:line="240" w:lineRule="auto"/>
      </w:pPr>
      <w:r>
        <w:rPr>
          <w:rFonts w:ascii="Aptos" w:hAnsi="Aptos"/>
          <w:color w:val="2D2D2D"/>
          <w:sz w:val="19"/>
        </w:rPr>
        <w:t>When has a promise from God steadied you during a difficult season?</w:t>
      </w:r>
    </w:p>
    <w:p>
      <w:pPr>
        <w:pStyle w:val="ListBullet"/>
        <w:spacing w:after="40" w:line="240" w:lineRule="auto"/>
      </w:pPr>
      <w:r>
        <w:rPr>
          <w:rFonts w:ascii="Aptos" w:hAnsi="Aptos"/>
          <w:color w:val="2D2D2D"/>
          <w:sz w:val="19"/>
        </w:rPr>
        <w:t>What makes it hard to trust God’s word when emotions are unsettled?</w:t>
      </w:r>
    </w:p>
    <w:p>
      <w:pPr>
        <w:pStyle w:val="ListBullet"/>
        <w:spacing w:after="40" w:line="240" w:lineRule="auto"/>
      </w:pPr>
      <w:r>
        <w:rPr>
          <w:rFonts w:ascii="Aptos" w:hAnsi="Aptos"/>
          <w:color w:val="2D2D2D"/>
          <w:sz w:val="19"/>
        </w:rPr>
        <w:t>How can spoken praise strengthen a congregation’s faith?</w:t>
      </w:r>
    </w:p>
    <w:p>
      <w:pPr>
        <w:pStyle w:val="Heading1"/>
        <w:spacing w:before="140" w:after="60"/>
      </w:pPr>
      <w:r>
        <w:rPr>
          <w:rFonts w:ascii="Georgia" w:hAnsi="Georgia"/>
          <w:b/>
          <w:color w:val="1F2B3B"/>
          <w:sz w:val="28"/>
        </w:rPr>
        <w:t>Brief Hymn Background</w:t>
      </w:r>
    </w:p>
    <w:p>
      <w:pPr>
        <w:spacing w:after="80" w:line="245" w:lineRule="auto"/>
      </w:pPr>
      <w:r>
        <w:rPr>
          <w:rFonts w:ascii="Aptos" w:hAnsi="Aptos"/>
          <w:b w:val="0"/>
          <w:color w:val="2D2D2D"/>
          <w:sz w:val="19"/>
        </w:rPr>
        <w:t>Begin, My Tongue, Some Heavenly Theme appeared in Isaac Watts’s 1707 collection Hymns and Spiritual Songs. Older indexes identify the hymn with the theme “The faithfulness of God in his promises.” Watts writes in Common Meter, so the text has been sung to several suitable tunes. MANOAH is a frequent pairing, though ST. MAGNUS and ST. ANNE also appear in hymnals.</w:t>
      </w:r>
    </w:p>
    <w:p>
      <w:pPr>
        <w:spacing w:after="80" w:line="245" w:lineRule="auto"/>
      </w:pPr>
      <w:r>
        <w:rPr>
          <w:rFonts w:ascii="Aptos" w:hAnsi="Aptos"/>
          <w:b w:val="0"/>
          <w:color w:val="2D2D2D"/>
          <w:sz w:val="19"/>
        </w:rPr>
        <w:t>The hymn is a compact meditation on the trustworthiness of God. It begins by calling the tongue to praise, then moves through God’s works, promises, grace, power, and personal assurance.</w:t>
      </w:r>
    </w:p>
    <w:p>
      <w:pPr>
        <w:pStyle w:val="Heading1"/>
        <w:spacing w:before="140" w:after="60"/>
      </w:pPr>
      <w:r>
        <w:rPr>
          <w:rFonts w:ascii="Georgia" w:hAnsi="Georgia"/>
          <w:b/>
          <w:color w:val="1F2B3B"/>
          <w:sz w:val="28"/>
        </w:rPr>
        <w:t>Primary Scripture and Supporting Passages</w:t>
      </w:r>
    </w:p>
    <w:p>
      <w:pPr>
        <w:spacing w:after="80" w:line="245" w:lineRule="auto"/>
      </w:pPr>
      <w:r>
        <w:rPr>
          <w:rFonts w:ascii="Aptos" w:hAnsi="Aptos"/>
          <w:b/>
          <w:color w:val="2D2D2D"/>
          <w:sz w:val="19"/>
        </w:rPr>
        <w:t>Primary text: Psalm 89:1-2 - the believer sings of the Lord’s steadfast love and makes his faithfulness known with the mouth.</w:t>
      </w:r>
    </w:p>
    <w:p>
      <w:pPr>
        <w:pStyle w:val="ListBullet"/>
        <w:spacing w:after="40" w:line="240" w:lineRule="auto"/>
      </w:pPr>
      <w:r>
        <w:rPr>
          <w:rFonts w:ascii="Aptos" w:hAnsi="Aptos"/>
          <w:color w:val="2D2D2D"/>
          <w:sz w:val="18"/>
        </w:rPr>
        <w:t>Psalm 145:3-4 - one generation commends God’s works to another.</w:t>
      </w:r>
    </w:p>
    <w:p>
      <w:pPr>
        <w:pStyle w:val="ListBullet"/>
        <w:spacing w:after="40" w:line="240" w:lineRule="auto"/>
      </w:pPr>
      <w:r>
        <w:rPr>
          <w:rFonts w:ascii="Aptos" w:hAnsi="Aptos"/>
          <w:color w:val="2D2D2D"/>
          <w:sz w:val="18"/>
        </w:rPr>
        <w:t>Hebrews 10:23 - the church holds fast because the One who promised is faithful.</w:t>
      </w:r>
    </w:p>
    <w:p>
      <w:pPr>
        <w:pStyle w:val="ListBullet"/>
        <w:spacing w:after="40" w:line="240" w:lineRule="auto"/>
      </w:pPr>
      <w:r>
        <w:rPr>
          <w:rFonts w:ascii="Aptos" w:hAnsi="Aptos"/>
          <w:color w:val="2D2D2D"/>
          <w:sz w:val="18"/>
        </w:rPr>
        <w:t>2 Corinthians 1:20 - every promise of God finds its Yes in Christ.</w:t>
      </w:r>
    </w:p>
    <w:p>
      <w:pPr>
        <w:pStyle w:val="ListBullet"/>
        <w:spacing w:after="40" w:line="240" w:lineRule="auto"/>
      </w:pPr>
      <w:r>
        <w:rPr>
          <w:rFonts w:ascii="Aptos" w:hAnsi="Aptos"/>
          <w:color w:val="2D2D2D"/>
          <w:sz w:val="18"/>
        </w:rPr>
        <w:t>Hebrews 1:3 - the Son upholds all things by the word of his power.</w:t>
      </w:r>
    </w:p>
    <w:p>
      <w:pPr>
        <w:pStyle w:val="Heading1"/>
        <w:spacing w:before="140" w:after="60"/>
      </w:pPr>
      <w:r>
        <w:rPr>
          <w:rFonts w:ascii="Georgia" w:hAnsi="Georgia"/>
          <w:b/>
          <w:color w:val="1F2B3B"/>
          <w:sz w:val="28"/>
        </w:rPr>
        <w:t>Hymn Movement in Plain Language</w:t>
      </w:r>
    </w:p>
    <w:p>
      <w:pPr>
        <w:spacing w:after="80" w:line="245" w:lineRule="auto"/>
      </w:pPr>
      <w:r>
        <w:rPr>
          <w:rFonts w:ascii="Aptos" w:hAnsi="Aptos"/>
          <w:b w:val="0"/>
          <w:color w:val="2D2D2D"/>
          <w:sz w:val="18"/>
        </w:rPr>
        <w:t>Summoned praise: The singer calls the tongue to speak of a heavenly subject: God’s works and the name of the eternal King.</w:t>
      </w:r>
    </w:p>
    <w:p>
      <w:pPr>
        <w:spacing w:after="80" w:line="245" w:lineRule="auto"/>
      </w:pPr>
      <w:r>
        <w:rPr>
          <w:rFonts w:ascii="Aptos" w:hAnsi="Aptos"/>
          <w:b w:val="0"/>
          <w:color w:val="2D2D2D"/>
          <w:sz w:val="18"/>
        </w:rPr>
        <w:t>Faithful promise: God’s grace, love, and truth are not temporary comforts. They rest on his covenant faithfulness.</w:t>
      </w:r>
    </w:p>
    <w:p>
      <w:pPr>
        <w:spacing w:after="80" w:line="245" w:lineRule="auto"/>
      </w:pPr>
      <w:r>
        <w:rPr>
          <w:rFonts w:ascii="Aptos" w:hAnsi="Aptos"/>
          <w:b w:val="0"/>
          <w:color w:val="2D2D2D"/>
          <w:sz w:val="18"/>
        </w:rPr>
        <w:t>Powerful word: The word that built and orders the heavens is the same word that speaks promise and assurance to God’s people.</w:t>
      </w:r>
    </w:p>
    <w:p>
      <w:pPr>
        <w:spacing w:after="80" w:line="245" w:lineRule="auto"/>
      </w:pPr>
      <w:r>
        <w:rPr>
          <w:rFonts w:ascii="Aptos" w:hAnsi="Aptos"/>
          <w:b w:val="0"/>
          <w:color w:val="2D2D2D"/>
          <w:sz w:val="18"/>
        </w:rPr>
        <w:t>Personal comfort: The hymn turns doctrine into consolation. God’s faithful word raises the believer’s song.</w:t>
      </w:r>
    </w:p>
    <w:p>
      <w:pPr>
        <w:pStyle w:val="Heading1"/>
        <w:spacing w:before="140" w:after="60"/>
      </w:pPr>
      <w:r>
        <w:rPr>
          <w:rFonts w:ascii="Georgia" w:hAnsi="Georgia"/>
          <w:b/>
          <w:color w:val="1F2B3B"/>
          <w:sz w:val="28"/>
        </w:rP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E7D3A0"/>
            <w:vAlign w:val="top"/>
          </w:tcPr>
          <w:p>
            <w:r/>
            <w:r>
              <w:rPr>
                <w:rFonts w:ascii="Aptos" w:hAnsi="Aptos"/>
                <w:b/>
                <w:color w:val="1F2B3B"/>
                <w:sz w:val="17"/>
              </w:rPr>
              <w:t>Hymn Theme</w:t>
            </w:r>
          </w:p>
        </w:tc>
        <w:tc>
          <w:tcPr>
            <w:tcW w:type="dxa" w:w="3485"/>
            <w:shd w:fill="E7D3A0"/>
            <w:vAlign w:val="top"/>
          </w:tcPr>
          <w:p>
            <w:r/>
            <w:r>
              <w:rPr>
                <w:rFonts w:ascii="Aptos" w:hAnsi="Aptos"/>
                <w:b/>
                <w:color w:val="1F2B3B"/>
                <w:sz w:val="17"/>
              </w:rPr>
              <w:t>Scripture Connection</w:t>
            </w:r>
          </w:p>
        </w:tc>
        <w:tc>
          <w:tcPr>
            <w:tcW w:type="dxa" w:w="3485"/>
            <w:shd w:fill="E7D3A0"/>
            <w:vAlign w:val="top"/>
          </w:tcPr>
          <w:p>
            <w:r/>
            <w:r>
              <w:rPr>
                <w:rFonts w:ascii="Aptos" w:hAnsi="Aptos"/>
                <w:b/>
                <w:color w:val="1F2B3B"/>
                <w:sz w:val="17"/>
              </w:rPr>
              <w:t>Discussion Prompt</w:t>
            </w:r>
          </w:p>
        </w:tc>
      </w:tr>
      <w:tr>
        <w:tc>
          <w:tcPr>
            <w:tcW w:type="dxa" w:w="3485"/>
            <w:vAlign w:val="top"/>
          </w:tcPr>
          <w:p>
            <w:r/>
            <w:r>
              <w:rPr>
                <w:rFonts w:ascii="Aptos" w:hAnsi="Aptos"/>
                <w:b w:val="0"/>
                <w:color w:val="2D2D2D"/>
                <w:sz w:val="17"/>
              </w:rPr>
              <w:t>Faithfulness</w:t>
            </w:r>
          </w:p>
        </w:tc>
        <w:tc>
          <w:tcPr>
            <w:tcW w:type="dxa" w:w="3485"/>
            <w:vAlign w:val="top"/>
          </w:tcPr>
          <w:p>
            <w:r/>
            <w:r>
              <w:rPr>
                <w:rFonts w:ascii="Aptos" w:hAnsi="Aptos"/>
                <w:b w:val="0"/>
                <w:color w:val="2D2D2D"/>
                <w:sz w:val="17"/>
              </w:rPr>
              <w:t>Psalm 89:1-2</w:t>
            </w:r>
          </w:p>
        </w:tc>
        <w:tc>
          <w:tcPr>
            <w:tcW w:type="dxa" w:w="3485"/>
            <w:vAlign w:val="top"/>
          </w:tcPr>
          <w:p>
            <w:r/>
            <w:r>
              <w:rPr>
                <w:rFonts w:ascii="Aptos" w:hAnsi="Aptos"/>
                <w:b w:val="0"/>
                <w:color w:val="2D2D2D"/>
                <w:sz w:val="17"/>
              </w:rPr>
              <w:t>Where do you most need to remember God’s reliability?</w:t>
            </w:r>
          </w:p>
        </w:tc>
      </w:tr>
      <w:tr>
        <w:tc>
          <w:tcPr>
            <w:tcW w:type="dxa" w:w="3485"/>
            <w:vAlign w:val="top"/>
          </w:tcPr>
          <w:p>
            <w:r/>
            <w:r>
              <w:rPr>
                <w:rFonts w:ascii="Aptos" w:hAnsi="Aptos"/>
                <w:b w:val="0"/>
                <w:color w:val="2D2D2D"/>
                <w:sz w:val="17"/>
              </w:rPr>
              <w:t>Promises</w:t>
            </w:r>
          </w:p>
        </w:tc>
        <w:tc>
          <w:tcPr>
            <w:tcW w:type="dxa" w:w="3485"/>
            <w:vAlign w:val="top"/>
          </w:tcPr>
          <w:p>
            <w:r/>
            <w:r>
              <w:rPr>
                <w:rFonts w:ascii="Aptos" w:hAnsi="Aptos"/>
                <w:b w:val="0"/>
                <w:color w:val="2D2D2D"/>
                <w:sz w:val="17"/>
              </w:rPr>
              <w:t>Hebrews 10:23</w:t>
            </w:r>
          </w:p>
        </w:tc>
        <w:tc>
          <w:tcPr>
            <w:tcW w:type="dxa" w:w="3485"/>
            <w:vAlign w:val="top"/>
          </w:tcPr>
          <w:p>
            <w:r/>
            <w:r>
              <w:rPr>
                <w:rFonts w:ascii="Aptos" w:hAnsi="Aptos"/>
                <w:b w:val="0"/>
                <w:color w:val="2D2D2D"/>
                <w:sz w:val="17"/>
              </w:rPr>
              <w:t>What promise of God should the group hold fast this week?</w:t>
            </w:r>
          </w:p>
        </w:tc>
      </w:tr>
      <w:tr>
        <w:tc>
          <w:tcPr>
            <w:tcW w:type="dxa" w:w="3485"/>
            <w:vAlign w:val="top"/>
          </w:tcPr>
          <w:p>
            <w:r/>
            <w:r>
              <w:rPr>
                <w:rFonts w:ascii="Aptos" w:hAnsi="Aptos"/>
                <w:b w:val="0"/>
                <w:color w:val="2D2D2D"/>
                <w:sz w:val="17"/>
              </w:rPr>
              <w:t>Creation and Word</w:t>
            </w:r>
          </w:p>
        </w:tc>
        <w:tc>
          <w:tcPr>
            <w:tcW w:type="dxa" w:w="3485"/>
            <w:vAlign w:val="top"/>
          </w:tcPr>
          <w:p>
            <w:r/>
            <w:r>
              <w:rPr>
                <w:rFonts w:ascii="Aptos" w:hAnsi="Aptos"/>
                <w:b w:val="0"/>
                <w:color w:val="2D2D2D"/>
                <w:sz w:val="17"/>
              </w:rPr>
              <w:t>Hebrews 1:3</w:t>
            </w:r>
          </w:p>
        </w:tc>
        <w:tc>
          <w:tcPr>
            <w:tcW w:type="dxa" w:w="3485"/>
            <w:vAlign w:val="top"/>
          </w:tcPr>
          <w:p>
            <w:r/>
            <w:r>
              <w:rPr>
                <w:rFonts w:ascii="Aptos" w:hAnsi="Aptos"/>
                <w:b w:val="0"/>
                <w:color w:val="2D2D2D"/>
                <w:sz w:val="17"/>
              </w:rPr>
              <w:t>How does God’s power in creation strengthen trust in his grace?</w:t>
            </w:r>
          </w:p>
        </w:tc>
      </w:tr>
      <w:tr>
        <w:tc>
          <w:tcPr>
            <w:tcW w:type="dxa" w:w="3485"/>
            <w:vAlign w:val="top"/>
          </w:tcPr>
          <w:p>
            <w:r/>
            <w:r>
              <w:rPr>
                <w:rFonts w:ascii="Aptos" w:hAnsi="Aptos"/>
                <w:b w:val="0"/>
                <w:color w:val="2D2D2D"/>
                <w:sz w:val="17"/>
              </w:rPr>
              <w:t>Praise as testimony</w:t>
            </w:r>
          </w:p>
        </w:tc>
        <w:tc>
          <w:tcPr>
            <w:tcW w:type="dxa" w:w="3485"/>
            <w:vAlign w:val="top"/>
          </w:tcPr>
          <w:p>
            <w:r/>
            <w:r>
              <w:rPr>
                <w:rFonts w:ascii="Aptos" w:hAnsi="Aptos"/>
                <w:b w:val="0"/>
                <w:color w:val="2D2D2D"/>
                <w:sz w:val="17"/>
              </w:rPr>
              <w:t>Psalm 145:3-4</w:t>
            </w:r>
          </w:p>
        </w:tc>
        <w:tc>
          <w:tcPr>
            <w:tcW w:type="dxa" w:w="3485"/>
            <w:vAlign w:val="top"/>
          </w:tcPr>
          <w:p>
            <w:r/>
            <w:r>
              <w:rPr>
                <w:rFonts w:ascii="Aptos" w:hAnsi="Aptos"/>
                <w:b w:val="0"/>
                <w:color w:val="2D2D2D"/>
                <w:sz w:val="17"/>
              </w:rPr>
              <w:t>How can a church speak God’s works to the next generation?</w:t>
            </w:r>
          </w:p>
        </w:tc>
      </w:tr>
    </w:tbl>
    <w:p>
      <w:pPr>
        <w:pStyle w:val="Heading1"/>
        <w:spacing w:before="140" w:after="60"/>
      </w:pPr>
      <w:r>
        <w:rPr>
          <w:rFonts w:ascii="Georgia" w:hAnsi="Georgia"/>
          <w:b/>
          <w:color w:val="1F2B3B"/>
          <w:sz w:val="28"/>
        </w:rPr>
        <w:t>Discussion Questions</w:t>
      </w:r>
    </w:p>
    <w:p>
      <w:pPr>
        <w:pStyle w:val="ListBullet"/>
        <w:spacing w:after="40" w:line="240" w:lineRule="auto"/>
      </w:pPr>
      <w:r>
        <w:rPr>
          <w:rFonts w:ascii="Aptos" w:hAnsi="Aptos"/>
          <w:color w:val="2D2D2D"/>
          <w:sz w:val="18"/>
        </w:rPr>
        <w:t>What does the hymn teach about the relationship between praise and testimony?</w:t>
      </w:r>
    </w:p>
    <w:p>
      <w:pPr>
        <w:pStyle w:val="ListBullet"/>
        <w:spacing w:after="40" w:line="240" w:lineRule="auto"/>
      </w:pPr>
      <w:r>
        <w:rPr>
          <w:rFonts w:ascii="Aptos" w:hAnsi="Aptos"/>
          <w:color w:val="2D2D2D"/>
          <w:sz w:val="18"/>
        </w:rPr>
        <w:t>Why does Watts connect God’s works, name, and promises?</w:t>
      </w:r>
    </w:p>
    <w:p>
      <w:pPr>
        <w:pStyle w:val="ListBullet"/>
        <w:spacing w:after="40" w:line="240" w:lineRule="auto"/>
      </w:pPr>
      <w:r>
        <w:rPr>
          <w:rFonts w:ascii="Aptos" w:hAnsi="Aptos"/>
          <w:color w:val="2D2D2D"/>
          <w:sz w:val="18"/>
        </w:rPr>
        <w:t>How is biblical assurance different from positive thinking?</w:t>
      </w:r>
    </w:p>
    <w:p>
      <w:pPr>
        <w:pStyle w:val="ListBullet"/>
        <w:spacing w:after="40" w:line="240" w:lineRule="auto"/>
      </w:pPr>
      <w:r>
        <w:rPr>
          <w:rFonts w:ascii="Aptos" w:hAnsi="Aptos"/>
          <w:color w:val="2D2D2D"/>
          <w:sz w:val="18"/>
        </w:rPr>
        <w:t>What does 2 Corinthians 1:20 add to the hymn’s message?</w:t>
      </w:r>
    </w:p>
    <w:p>
      <w:pPr>
        <w:pStyle w:val="ListBullet"/>
        <w:spacing w:after="40" w:line="240" w:lineRule="auto"/>
      </w:pPr>
      <w:r>
        <w:rPr>
          <w:rFonts w:ascii="Aptos" w:hAnsi="Aptos"/>
          <w:color w:val="2D2D2D"/>
          <w:sz w:val="18"/>
        </w:rPr>
        <w:t>How can a choir or congregation sing this hymn so the words are clearly heard?</w:t>
      </w:r>
    </w:p>
    <w:p>
      <w:pPr>
        <w:pStyle w:val="ListBullet"/>
        <w:spacing w:after="40" w:line="240" w:lineRule="auto"/>
      </w:pPr>
      <w:r>
        <w:rPr>
          <w:rFonts w:ascii="Aptos" w:hAnsi="Aptos"/>
          <w:color w:val="2D2D2D"/>
          <w:sz w:val="18"/>
        </w:rPr>
        <w:t>What would change in your prayer life if you began by naming God’s faithfulness?</w:t>
      </w:r>
    </w:p>
    <w:p>
      <w:pPr>
        <w:pStyle w:val="ListBullet"/>
        <w:spacing w:after="40" w:line="240" w:lineRule="auto"/>
      </w:pPr>
      <w:r>
        <w:rPr>
          <w:rFonts w:ascii="Aptos" w:hAnsi="Aptos"/>
          <w:color w:val="2D2D2D"/>
          <w:sz w:val="18"/>
        </w:rPr>
        <w:t>How might this hymn help someone whose faith feels weak?</w:t>
      </w:r>
    </w:p>
    <w:p>
      <w:pPr>
        <w:pStyle w:val="Heading1"/>
        <w:spacing w:before="140" w:after="60"/>
      </w:pPr>
      <w:r>
        <w:rPr>
          <w:rFonts w:ascii="Georgia" w:hAnsi="Georgia"/>
          <w:b/>
          <w:color w:val="1F2B3B"/>
          <w:sz w:val="28"/>
        </w:rPr>
        <w:t>Practice This Week</w:t>
      </w:r>
    </w:p>
    <w:p>
      <w:pPr>
        <w:pStyle w:val="ListBullet"/>
        <w:spacing w:after="40" w:line="240" w:lineRule="auto"/>
      </w:pPr>
      <w:r>
        <w:rPr>
          <w:rFonts w:ascii="Aptos" w:hAnsi="Aptos"/>
          <w:color w:val="2D2D2D"/>
          <w:sz w:val="18"/>
        </w:rPr>
        <w:t>Memorize Hebrews 10:23 and pray it each morning.</w:t>
      </w:r>
    </w:p>
    <w:p>
      <w:pPr>
        <w:pStyle w:val="ListBullet"/>
        <w:spacing w:after="40" w:line="240" w:lineRule="auto"/>
      </w:pPr>
      <w:r>
        <w:rPr>
          <w:rFonts w:ascii="Aptos" w:hAnsi="Aptos"/>
          <w:color w:val="2D2D2D"/>
          <w:sz w:val="18"/>
        </w:rPr>
        <w:t>Tell one person a specific way God has been faithful to you.</w:t>
      </w:r>
    </w:p>
    <w:p>
      <w:pPr>
        <w:pStyle w:val="ListBullet"/>
        <w:spacing w:after="40" w:line="240" w:lineRule="auto"/>
      </w:pPr>
      <w:r>
        <w:rPr>
          <w:rFonts w:ascii="Aptos" w:hAnsi="Aptos"/>
          <w:color w:val="2D2D2D"/>
          <w:sz w:val="18"/>
        </w:rPr>
        <w:t>Before asking God for help, first praise him for one promise he has already spoken.</w:t>
      </w:r>
    </w:p>
    <w:p>
      <w:pPr>
        <w:pStyle w:val="ListBullet"/>
        <w:spacing w:after="40" w:line="240" w:lineRule="auto"/>
      </w:pPr>
      <w:r>
        <w:rPr>
          <w:rFonts w:ascii="Aptos" w:hAnsi="Aptos"/>
          <w:color w:val="2D2D2D"/>
          <w:sz w:val="18"/>
        </w:rPr>
        <w:t>Listen for the words promise, faithfulness, and word when the hymn is sung.</w:t>
      </w:r>
    </w:p>
    <w:p>
      <w:pPr>
        <w:pStyle w:val="Heading1"/>
        <w:spacing w:before="140" w:after="60"/>
      </w:pPr>
      <w:r>
        <w:rPr>
          <w:rFonts w:ascii="Georgia" w:hAnsi="Georgia"/>
          <w:b/>
          <w:color w:val="1F2B3B"/>
          <w:sz w:val="28"/>
        </w:rPr>
        <w:t>Optional Leader Notes</w:t>
      </w:r>
    </w:p>
    <w:p>
      <w:pPr>
        <w:spacing w:after="80" w:line="245" w:lineRule="auto"/>
      </w:pPr>
      <w:r>
        <w:rPr>
          <w:rFonts w:ascii="Aptos" w:hAnsi="Aptos"/>
          <w:b w:val="0"/>
          <w:color w:val="2D2D2D"/>
          <w:sz w:val="18"/>
        </w:rPr>
        <w:t>Keep the discussion focused on God’s character rather than on changing feelings. When people mention fear or weakness, guide them gently toward the promises of God in Scripture and the fulfillment of those promises in Christ.</w:t>
      </w:r>
    </w:p>
    <w:p>
      <w:pPr>
        <w:pStyle w:val="Heading1"/>
        <w:spacing w:before="140" w:after="60"/>
      </w:pPr>
      <w:r>
        <w:rPr>
          <w:rFonts w:ascii="Georgia" w:hAnsi="Georgia"/>
          <w:b/>
          <w:color w:val="1F2B3B"/>
          <w:sz w:val="28"/>
        </w:rPr>
        <w:t>Closing Prayer</w:t>
      </w:r>
    </w:p>
    <w:p>
      <w:pPr>
        <w:spacing w:after="80" w:line="245" w:lineRule="auto"/>
      </w:pPr>
      <w:r>
        <w:rPr>
          <w:rFonts w:ascii="Aptos" w:hAnsi="Aptos"/>
          <w:b w:val="0"/>
          <w:color w:val="2D2D2D"/>
          <w:sz w:val="19"/>
        </w:rPr>
        <w:t>Faithful God, teach our tongues to praise you, our minds to remember your works, and our hearts to rest in your promises. Through Jesus Christ, in whom your promises are Yes and Amen. Amen.</w:t>
      </w:r>
    </w:p>
    <w:p>
      <w:pPr>
        <w:spacing w:before="120"/>
        <w:jc w:val="center"/>
      </w:pPr>
      <w:r>
        <w:rPr>
          <w:rFonts w:ascii="Aptos" w:hAnsi="Aptos"/>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 My Tongue, Some Heavenly Theme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