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Break Thou the Bread of Life</w:t>
      </w:r>
    </w:p>
    <w:p>
      <w:pPr>
        <w:jc w:val="center"/>
      </w:pPr>
      <w:r>
        <w:rPr>
          <w:i/>
          <w:color w:val="674B2A"/>
          <w:sz w:val="20"/>
        </w:rPr>
        <w:t>Small Group Handout</w:t>
      </w:r>
    </w:p>
    <w:p>
      <w:pPr>
        <w:jc w:val="center"/>
      </w:pPr>
      <w:r>
        <w:rPr>
          <w:color w:val="7A4A1B"/>
          <w:sz w:val="17"/>
        </w:rPr>
        <w:t>Scripture • Prayer • Illumination • Spiritual Nourishment</w:t>
      </w:r>
    </w:p>
    <w:p>
      <w:pPr>
        <w:spacing w:after="40"/>
      </w:pPr>
      <w:r>
        <w:rPr>
          <w:b/>
          <w:color w:val="5B3416"/>
        </w:rPr>
        <w:t xml:space="preserve">Purpose: </w:t>
      </w:r>
      <w:r>
        <w:t>This study helps a group pray through the hymn as a request for Christ to open Scripture, feed the soul, and form obedient disciples.</w:t>
      </w:r>
    </w:p>
    <w:p>
      <w:pPr>
        <w:pStyle w:val="Heading1"/>
      </w:pPr>
      <w:r>
        <w:t>Opening Reflection</w:t>
      </w:r>
    </w:p>
    <w:p>
      <w:pPr>
        <w:pStyle w:val="ListBullet"/>
        <w:spacing w:after="30"/>
        <w:ind w:left="259"/>
      </w:pPr>
      <w:r>
        <w:rPr>
          <w:sz w:val="18"/>
        </w:rPr>
        <w:t>When has a familiar Bible passage become fresh and life-giving to you?</w:t>
      </w:r>
    </w:p>
    <w:p>
      <w:pPr>
        <w:pStyle w:val="ListBullet"/>
        <w:spacing w:after="30"/>
        <w:ind w:left="259"/>
      </w:pPr>
      <w:r>
        <w:rPr>
          <w:sz w:val="18"/>
        </w:rPr>
        <w:t>What helps you approach Scripture with hunger rather than routine?</w:t>
      </w:r>
    </w:p>
    <w:p>
      <w:pPr>
        <w:pStyle w:val="ListBullet"/>
        <w:spacing w:after="30"/>
        <w:ind w:left="259"/>
      </w:pPr>
      <w:r>
        <w:rPr>
          <w:sz w:val="18"/>
        </w:rPr>
        <w:t>How can a group make Bible study more prayerful and less merely informational?</w:t>
      </w:r>
    </w:p>
    <w:p>
      <w:pPr>
        <w:pStyle w:val="Heading1"/>
      </w:pPr>
      <w:r>
        <w:t>Brief Hymn Background</w:t>
      </w:r>
    </w:p>
    <w:p>
      <w:pPr>
        <w:spacing w:after="40"/>
      </w:pPr>
      <w:r>
        <w:t>Mary Artemisia Lathbury wrote this hymn in 1877 for the Chautauqua Sunday School Assembly, where teachers and students gathered for serious Bible study and Christian education.</w:t>
      </w:r>
    </w:p>
    <w:p>
      <w:pPr>
        <w:spacing w:after="40"/>
      </w:pPr>
      <w:r>
        <w:t>William Fisk Sherwin, music director at Chautauqua, composed the tune BREAD OF LIFE. The tune is commonly given in 6.4.6.4.D meter and has a quiet, devotional character.</w:t>
      </w:r>
    </w:p>
    <w:p>
      <w:pPr>
        <w:spacing w:after="40"/>
      </w:pPr>
      <w:r>
        <w:t>Expanded forms of the hymn include additional stanzas associated with Alexander Groves. The central purpose remains a prayer for the Lord to make Scripture living and nourishing.</w:t>
      </w:r>
    </w:p>
    <w:p>
      <w:pPr>
        <w:pStyle w:val="Heading1"/>
      </w:pPr>
      <w:r>
        <w:t>Primary Scripture and Supporting Passages</w:t>
      </w:r>
    </w:p>
    <w:tbl>
      <w:tblPr>
        <w:tblW w:type="auto" w:w="0"/>
        <w:jc w:val="center"/>
        <w:tblLayout w:type="autofit"/>
        <w:tblLook w:firstColumn="1" w:firstRow="1" w:lastColumn="0" w:lastRow="0" w:noHBand="0" w:noVBand="1" w:val="04A0"/>
      </w:tblPr>
      <w:tblGrid>
        <w:gridCol w:w="5227"/>
        <w:gridCol w:w="5227"/>
      </w:tblGrid>
      <w:tr>
        <w:tc>
          <w:tcPr>
            <w:tcW w:type="dxa" w:w="5227"/>
            <w:shd w:fill="F3E1C7"/>
            <w:tcBorders>
              <w:top w:sz="4" w:val="single" w:color="C9A66B"/>
              <w:left w:sz="4" w:val="single" w:color="C9A66B"/>
              <w:bottom w:sz="4" w:val="single" w:color="C9A66B"/>
              <w:right w:sz="4" w:val="single" w:color="C9A66B"/>
            </w:tcBorders>
            <w:vAlign w:val="center"/>
          </w:tcPr>
          <w:p>
            <w:pPr>
              <w:spacing w:after="20"/>
            </w:pPr>
            <w:r>
              <w:rPr>
                <w:b/>
                <w:sz w:val="16"/>
              </w:rPr>
              <w:t>Primary Texts</w:t>
            </w:r>
          </w:p>
        </w:tc>
        <w:tc>
          <w:tcPr>
            <w:tcW w:type="dxa" w:w="5227"/>
            <w:shd w:fill="F3E1C7"/>
            <w:tcBorders>
              <w:top w:sz="4" w:val="single" w:color="C9A66B"/>
              <w:left w:sz="4" w:val="single" w:color="C9A66B"/>
              <w:bottom w:sz="4" w:val="single" w:color="C9A66B"/>
              <w:right w:sz="4" w:val="single" w:color="C9A66B"/>
            </w:tcBorders>
            <w:vAlign w:val="center"/>
          </w:tcPr>
          <w:p>
            <w:pPr>
              <w:spacing w:after="20"/>
            </w:pPr>
            <w:r>
              <w:rPr>
                <w:b/>
                <w:sz w:val="16"/>
              </w:rPr>
              <w:t>How They Serve the Study</w:t>
            </w:r>
          </w:p>
        </w:tc>
      </w:tr>
      <w:tr>
        <w:tc>
          <w:tcPr>
            <w:tcW w:type="dxa" w:w="5227"/>
            <w:tcBorders>
              <w:top w:sz="4" w:val="single" w:color="C9A66B"/>
              <w:left w:sz="4" w:val="single" w:color="C9A66B"/>
              <w:bottom w:sz="4" w:val="single" w:color="C9A66B"/>
              <w:right w:sz="4" w:val="single" w:color="C9A66B"/>
            </w:tcBorders>
            <w:vAlign w:val="center"/>
          </w:tcPr>
          <w:p>
            <w:pPr>
              <w:spacing w:after="20"/>
            </w:pPr>
            <w:r>
              <w:rPr>
                <w:sz w:val="16"/>
              </w:rPr>
              <w:t>John 6:35</w:t>
            </w:r>
          </w:p>
        </w:tc>
        <w:tc>
          <w:tcPr>
            <w:tcW w:type="dxa" w:w="5227"/>
            <w:tcBorders>
              <w:top w:sz="4" w:val="single" w:color="C9A66B"/>
              <w:left w:sz="4" w:val="single" w:color="C9A66B"/>
              <w:bottom w:sz="4" w:val="single" w:color="C9A66B"/>
              <w:right w:sz="4" w:val="single" w:color="C9A66B"/>
            </w:tcBorders>
            <w:vAlign w:val="center"/>
          </w:tcPr>
          <w:p>
            <w:pPr>
              <w:spacing w:after="20"/>
            </w:pPr>
            <w:r>
              <w:rPr>
                <w:sz w:val="16"/>
              </w:rPr>
              <w:t>Christ is the Bread of Life who satisfies spiritual hunger.</w:t>
            </w:r>
          </w:p>
        </w:tc>
      </w:tr>
      <w:tr>
        <w:tc>
          <w:tcPr>
            <w:tcW w:type="dxa" w:w="5227"/>
            <w:tcBorders>
              <w:top w:sz="4" w:val="single" w:color="C9A66B"/>
              <w:left w:sz="4" w:val="single" w:color="C9A66B"/>
              <w:bottom w:sz="4" w:val="single" w:color="C9A66B"/>
              <w:right w:sz="4" w:val="single" w:color="C9A66B"/>
            </w:tcBorders>
            <w:vAlign w:val="center"/>
          </w:tcPr>
          <w:p>
            <w:pPr>
              <w:spacing w:after="20"/>
            </w:pPr>
            <w:r>
              <w:rPr>
                <w:sz w:val="16"/>
              </w:rPr>
              <w:t>Luke 24:30-32</w:t>
            </w:r>
          </w:p>
        </w:tc>
        <w:tc>
          <w:tcPr>
            <w:tcW w:type="dxa" w:w="5227"/>
            <w:tcBorders>
              <w:top w:sz="4" w:val="single" w:color="C9A66B"/>
              <w:left w:sz="4" w:val="single" w:color="C9A66B"/>
              <w:bottom w:sz="4" w:val="single" w:color="C9A66B"/>
              <w:right w:sz="4" w:val="single" w:color="C9A66B"/>
            </w:tcBorders>
            <w:vAlign w:val="center"/>
          </w:tcPr>
          <w:p>
            <w:pPr>
              <w:spacing w:after="20"/>
            </w:pPr>
            <w:r>
              <w:rPr>
                <w:sz w:val="16"/>
              </w:rPr>
              <w:t>The risen Christ is known as he opens Scripture and breaks bread.</w:t>
            </w:r>
          </w:p>
        </w:tc>
      </w:tr>
      <w:tr>
        <w:tc>
          <w:tcPr>
            <w:tcW w:type="dxa" w:w="5227"/>
            <w:tcBorders>
              <w:top w:sz="4" w:val="single" w:color="C9A66B"/>
              <w:left w:sz="4" w:val="single" w:color="C9A66B"/>
              <w:bottom w:sz="4" w:val="single" w:color="C9A66B"/>
              <w:right w:sz="4" w:val="single" w:color="C9A66B"/>
            </w:tcBorders>
            <w:vAlign w:val="center"/>
          </w:tcPr>
          <w:p>
            <w:pPr>
              <w:spacing w:after="20"/>
            </w:pPr>
            <w:r>
              <w:rPr>
                <w:sz w:val="16"/>
              </w:rPr>
              <w:t>Matthew 4:4</w:t>
            </w:r>
          </w:p>
        </w:tc>
        <w:tc>
          <w:tcPr>
            <w:tcW w:type="dxa" w:w="5227"/>
            <w:tcBorders>
              <w:top w:sz="4" w:val="single" w:color="C9A66B"/>
              <w:left w:sz="4" w:val="single" w:color="C9A66B"/>
              <w:bottom w:sz="4" w:val="single" w:color="C9A66B"/>
              <w:right w:sz="4" w:val="single" w:color="C9A66B"/>
            </w:tcBorders>
            <w:vAlign w:val="center"/>
          </w:tcPr>
          <w:p>
            <w:pPr>
              <w:spacing w:after="20"/>
            </w:pPr>
            <w:r>
              <w:rPr>
                <w:sz w:val="16"/>
              </w:rPr>
              <w:t>Human life depends on the Word that comes from God.</w:t>
            </w:r>
          </w:p>
        </w:tc>
      </w:tr>
      <w:tr>
        <w:tc>
          <w:tcPr>
            <w:tcW w:type="dxa" w:w="5227"/>
            <w:tcBorders>
              <w:top w:sz="4" w:val="single" w:color="C9A66B"/>
              <w:left w:sz="4" w:val="single" w:color="C9A66B"/>
              <w:bottom w:sz="4" w:val="single" w:color="C9A66B"/>
              <w:right w:sz="4" w:val="single" w:color="C9A66B"/>
            </w:tcBorders>
            <w:vAlign w:val="center"/>
          </w:tcPr>
          <w:p>
            <w:pPr>
              <w:spacing w:after="20"/>
            </w:pPr>
            <w:r>
              <w:rPr>
                <w:sz w:val="16"/>
              </w:rPr>
              <w:t>Psalm 119:18</w:t>
            </w:r>
          </w:p>
        </w:tc>
        <w:tc>
          <w:tcPr>
            <w:tcW w:type="dxa" w:w="5227"/>
            <w:tcBorders>
              <w:top w:sz="4" w:val="single" w:color="C9A66B"/>
              <w:left w:sz="4" w:val="single" w:color="C9A66B"/>
              <w:bottom w:sz="4" w:val="single" w:color="C9A66B"/>
              <w:right w:sz="4" w:val="single" w:color="C9A66B"/>
            </w:tcBorders>
            <w:vAlign w:val="center"/>
          </w:tcPr>
          <w:p>
            <w:pPr>
              <w:spacing w:after="20"/>
            </w:pPr>
            <w:r>
              <w:rPr>
                <w:sz w:val="16"/>
              </w:rPr>
              <w:t>Faithful reading begins with prayer for opened eyes.</w:t>
            </w:r>
          </w:p>
        </w:tc>
      </w:tr>
      <w:tr>
        <w:tc>
          <w:tcPr>
            <w:tcW w:type="dxa" w:w="5227"/>
            <w:tcBorders>
              <w:top w:sz="4" w:val="single" w:color="C9A66B"/>
              <w:left w:sz="4" w:val="single" w:color="C9A66B"/>
              <w:bottom w:sz="4" w:val="single" w:color="C9A66B"/>
              <w:right w:sz="4" w:val="single" w:color="C9A66B"/>
            </w:tcBorders>
            <w:vAlign w:val="center"/>
          </w:tcPr>
          <w:p>
            <w:pPr>
              <w:spacing w:after="20"/>
            </w:pPr>
            <w:r>
              <w:rPr>
                <w:sz w:val="16"/>
              </w:rPr>
              <w:t>Acts 2:42</w:t>
            </w:r>
          </w:p>
        </w:tc>
        <w:tc>
          <w:tcPr>
            <w:tcW w:type="dxa" w:w="5227"/>
            <w:tcBorders>
              <w:top w:sz="4" w:val="single" w:color="C9A66B"/>
              <w:left w:sz="4" w:val="single" w:color="C9A66B"/>
              <w:bottom w:sz="4" w:val="single" w:color="C9A66B"/>
              <w:right w:sz="4" w:val="single" w:color="C9A66B"/>
            </w:tcBorders>
            <w:vAlign w:val="center"/>
          </w:tcPr>
          <w:p>
            <w:pPr>
              <w:spacing w:after="20"/>
            </w:pPr>
            <w:r>
              <w:rPr>
                <w:sz w:val="16"/>
              </w:rPr>
              <w:t>The church grows through teaching, fellowship, prayer, and shared life.</w:t>
            </w:r>
          </w:p>
        </w:tc>
      </w:tr>
    </w:tbl>
    <w:p>
      <w:pPr>
        <w:pStyle w:val="Heading1"/>
      </w:pPr>
      <w:r>
        <w:t>Stanza-by-Stanza Study</w:t>
      </w:r>
    </w:p>
    <w:p>
      <w:pPr>
        <w:spacing w:after="40"/>
      </w:pPr>
      <w:r>
        <w:rPr>
          <w:b/>
          <w:color w:val="5B3416"/>
        </w:rPr>
        <w:t xml:space="preserve">Opening prayer: </w:t>
      </w:r>
      <w:r>
        <w:t>The singer asks Christ to make the Word nourishing. The image of bread points to spiritual hunger, not mere religious habit. Scripture is approached with need and trust.</w:t>
      </w:r>
    </w:p>
    <w:p>
      <w:pPr>
        <w:spacing w:after="40"/>
      </w:pPr>
      <w:r>
        <w:rPr>
          <w:b/>
          <w:color w:val="5B3416"/>
        </w:rPr>
        <w:t xml:space="preserve">Blessing the truth: </w:t>
      </w:r>
      <w:r>
        <w:t>The hymn asks that truth become freedom and peace. Bible study should not leave the heart chained by fear, sin, or self-reliance, but should lead to Christ himself.</w:t>
      </w:r>
    </w:p>
    <w:p>
      <w:pPr>
        <w:spacing w:after="40"/>
      </w:pPr>
      <w:r>
        <w:rPr>
          <w:b/>
          <w:color w:val="5B3416"/>
        </w:rPr>
        <w:t xml:space="preserve">Bread of Life: </w:t>
      </w:r>
      <w:r>
        <w:t>Expanded forms name Christ as the living bread. The Word saves and feeds because it bears witness to the Lord who gives life.</w:t>
      </w:r>
    </w:p>
    <w:p>
      <w:pPr>
        <w:spacing w:after="40"/>
      </w:pPr>
      <w:r>
        <w:rPr>
          <w:b/>
          <w:color w:val="5B3416"/>
        </w:rPr>
        <w:t xml:space="preserve">Illumination: </w:t>
      </w:r>
      <w:r>
        <w:t>The final prayer asks the Spirit to open the eyes. The goal is not clever interpretation alone, but seeing the Lord through the written Word.</w:t>
      </w:r>
    </w:p>
    <w:p>
      <w:pPr>
        <w:pStyle w:val="Heading1"/>
      </w:pPr>
      <w:r>
        <w:t>Study Table</w:t>
      </w:r>
    </w:p>
    <w:tbl>
      <w:tblPr>
        <w:tblW w:type="auto" w:w="0"/>
        <w:jc w:val="center"/>
        <w:tblLook w:firstColumn="1" w:firstRow="1" w:lastColumn="0" w:lastRow="0" w:noHBand="0" w:noVBand="1" w:val="04A0"/>
      </w:tblPr>
      <w:tblGrid>
        <w:gridCol w:w="3485"/>
        <w:gridCol w:w="3485"/>
        <w:gridCol w:w="3485"/>
      </w:tblGrid>
      <w:tr>
        <w:tc>
          <w:tcPr>
            <w:tcW w:type="dxa" w:w="3485"/>
            <w:shd w:fill="F3E1C7"/>
            <w:tcBorders>
              <w:top w:sz="4" w:val="single" w:color="C9A66B"/>
              <w:left w:sz="4" w:val="single" w:color="C9A66B"/>
              <w:bottom w:sz="4" w:val="single" w:color="C9A66B"/>
              <w:right w:sz="4" w:val="single" w:color="C9A66B"/>
            </w:tcBorders>
          </w:tcPr>
          <w:p>
            <w:pPr>
              <w:spacing w:after="20"/>
            </w:pPr>
            <w:r>
              <w:rPr>
                <w:sz w:val="15"/>
              </w:rPr>
              <w:t>Hymn Theme</w:t>
            </w:r>
          </w:p>
        </w:tc>
        <w:tc>
          <w:tcPr>
            <w:tcW w:type="dxa" w:w="3485"/>
            <w:shd w:fill="F3E1C7"/>
            <w:tcBorders>
              <w:top w:sz="4" w:val="single" w:color="C9A66B"/>
              <w:left w:sz="4" w:val="single" w:color="C9A66B"/>
              <w:bottom w:sz="4" w:val="single" w:color="C9A66B"/>
              <w:right w:sz="4" w:val="single" w:color="C9A66B"/>
            </w:tcBorders>
          </w:tcPr>
          <w:p>
            <w:pPr>
              <w:spacing w:after="20"/>
            </w:pPr>
            <w:r>
              <w:rPr>
                <w:sz w:val="15"/>
              </w:rPr>
              <w:t>Scripture Connection</w:t>
            </w:r>
          </w:p>
        </w:tc>
        <w:tc>
          <w:tcPr>
            <w:tcW w:type="dxa" w:w="3485"/>
            <w:shd w:fill="F3E1C7"/>
            <w:tcBorders>
              <w:top w:sz="4" w:val="single" w:color="C9A66B"/>
              <w:left w:sz="4" w:val="single" w:color="C9A66B"/>
              <w:bottom w:sz="4" w:val="single" w:color="C9A66B"/>
              <w:right w:sz="4" w:val="single" w:color="C9A66B"/>
            </w:tcBorders>
          </w:tcPr>
          <w:p>
            <w:pPr>
              <w:spacing w:after="20"/>
            </w:pPr>
            <w:r>
              <w:rPr>
                <w:sz w:val="15"/>
              </w:rPr>
              <w:t>Discussion Prompt</w:t>
            </w:r>
          </w:p>
        </w:tc>
      </w:tr>
      <w:tr>
        <w:tc>
          <w:tcPr>
            <w:tcW w:type="dxa" w:w="3485"/>
            <w:tcBorders>
              <w:top w:sz="4" w:val="single" w:color="C9A66B"/>
              <w:left w:sz="4" w:val="single" w:color="C9A66B"/>
              <w:bottom w:sz="4" w:val="single" w:color="C9A66B"/>
              <w:right w:sz="4" w:val="single" w:color="C9A66B"/>
            </w:tcBorders>
          </w:tcPr>
          <w:p>
            <w:pPr>
              <w:spacing w:after="20"/>
            </w:pPr>
            <w:r>
              <w:rPr>
                <w:sz w:val="15"/>
              </w:rPr>
              <w:t>Spiritual hunger</w:t>
            </w:r>
          </w:p>
        </w:tc>
        <w:tc>
          <w:tcPr>
            <w:tcW w:type="dxa" w:w="3485"/>
            <w:tcBorders>
              <w:top w:sz="4" w:val="single" w:color="C9A66B"/>
              <w:left w:sz="4" w:val="single" w:color="C9A66B"/>
              <w:bottom w:sz="4" w:val="single" w:color="C9A66B"/>
              <w:right w:sz="4" w:val="single" w:color="C9A66B"/>
            </w:tcBorders>
          </w:tcPr>
          <w:p>
            <w:pPr>
              <w:spacing w:after="20"/>
            </w:pPr>
            <w:r>
              <w:rPr>
                <w:sz w:val="15"/>
              </w:rPr>
              <w:t>John 6:35</w:t>
            </w:r>
          </w:p>
        </w:tc>
        <w:tc>
          <w:tcPr>
            <w:tcW w:type="dxa" w:w="3485"/>
            <w:tcBorders>
              <w:top w:sz="4" w:val="single" w:color="C9A66B"/>
              <w:left w:sz="4" w:val="single" w:color="C9A66B"/>
              <w:bottom w:sz="4" w:val="single" w:color="C9A66B"/>
              <w:right w:sz="4" w:val="single" w:color="C9A66B"/>
            </w:tcBorders>
          </w:tcPr>
          <w:p>
            <w:pPr>
              <w:spacing w:after="20"/>
            </w:pPr>
            <w:r>
              <w:rPr>
                <w:sz w:val="15"/>
              </w:rPr>
              <w:t>Where do people seek nourishment apart from Christ?</w:t>
            </w:r>
          </w:p>
        </w:tc>
      </w:tr>
      <w:tr>
        <w:tc>
          <w:tcPr>
            <w:tcW w:type="dxa" w:w="3485"/>
            <w:tcBorders>
              <w:top w:sz="4" w:val="single" w:color="C9A66B"/>
              <w:left w:sz="4" w:val="single" w:color="C9A66B"/>
              <w:bottom w:sz="4" w:val="single" w:color="C9A66B"/>
              <w:right w:sz="4" w:val="single" w:color="C9A66B"/>
            </w:tcBorders>
          </w:tcPr>
          <w:p>
            <w:pPr>
              <w:spacing w:after="20"/>
            </w:pPr>
            <w:r>
              <w:rPr>
                <w:sz w:val="15"/>
              </w:rPr>
              <w:t>Opened Scripture</w:t>
            </w:r>
          </w:p>
        </w:tc>
        <w:tc>
          <w:tcPr>
            <w:tcW w:type="dxa" w:w="3485"/>
            <w:tcBorders>
              <w:top w:sz="4" w:val="single" w:color="C9A66B"/>
              <w:left w:sz="4" w:val="single" w:color="C9A66B"/>
              <w:bottom w:sz="4" w:val="single" w:color="C9A66B"/>
              <w:right w:sz="4" w:val="single" w:color="C9A66B"/>
            </w:tcBorders>
          </w:tcPr>
          <w:p>
            <w:pPr>
              <w:spacing w:after="20"/>
            </w:pPr>
            <w:r>
              <w:rPr>
                <w:sz w:val="15"/>
              </w:rPr>
              <w:t>Luke 24:30-32</w:t>
            </w:r>
          </w:p>
        </w:tc>
        <w:tc>
          <w:tcPr>
            <w:tcW w:type="dxa" w:w="3485"/>
            <w:tcBorders>
              <w:top w:sz="4" w:val="single" w:color="C9A66B"/>
              <w:left w:sz="4" w:val="single" w:color="C9A66B"/>
              <w:bottom w:sz="4" w:val="single" w:color="C9A66B"/>
              <w:right w:sz="4" w:val="single" w:color="C9A66B"/>
            </w:tcBorders>
          </w:tcPr>
          <w:p>
            <w:pPr>
              <w:spacing w:after="20"/>
            </w:pPr>
            <w:r>
              <w:rPr>
                <w:sz w:val="15"/>
              </w:rPr>
              <w:t>How does Christ make Scripture burn within the heart?</w:t>
            </w:r>
          </w:p>
        </w:tc>
      </w:tr>
      <w:tr>
        <w:tc>
          <w:tcPr>
            <w:tcW w:type="dxa" w:w="3485"/>
            <w:tcBorders>
              <w:top w:sz="4" w:val="single" w:color="C9A66B"/>
              <w:left w:sz="4" w:val="single" w:color="C9A66B"/>
              <w:bottom w:sz="4" w:val="single" w:color="C9A66B"/>
              <w:right w:sz="4" w:val="single" w:color="C9A66B"/>
            </w:tcBorders>
          </w:tcPr>
          <w:p>
            <w:pPr>
              <w:spacing w:after="20"/>
            </w:pPr>
            <w:r>
              <w:rPr>
                <w:sz w:val="15"/>
              </w:rPr>
              <w:t>Prayer for sight</w:t>
            </w:r>
          </w:p>
        </w:tc>
        <w:tc>
          <w:tcPr>
            <w:tcW w:type="dxa" w:w="3485"/>
            <w:tcBorders>
              <w:top w:sz="4" w:val="single" w:color="C9A66B"/>
              <w:left w:sz="4" w:val="single" w:color="C9A66B"/>
              <w:bottom w:sz="4" w:val="single" w:color="C9A66B"/>
              <w:right w:sz="4" w:val="single" w:color="C9A66B"/>
            </w:tcBorders>
          </w:tcPr>
          <w:p>
            <w:pPr>
              <w:spacing w:after="20"/>
            </w:pPr>
            <w:r>
              <w:rPr>
                <w:sz w:val="15"/>
              </w:rPr>
              <w:t>Psalm 119:18</w:t>
            </w:r>
          </w:p>
        </w:tc>
        <w:tc>
          <w:tcPr>
            <w:tcW w:type="dxa" w:w="3485"/>
            <w:tcBorders>
              <w:top w:sz="4" w:val="single" w:color="C9A66B"/>
              <w:left w:sz="4" w:val="single" w:color="C9A66B"/>
              <w:bottom w:sz="4" w:val="single" w:color="C9A66B"/>
              <w:right w:sz="4" w:val="single" w:color="C9A66B"/>
            </w:tcBorders>
          </w:tcPr>
          <w:p>
            <w:pPr>
              <w:spacing w:after="20"/>
            </w:pPr>
            <w:r>
              <w:rPr>
                <w:sz w:val="15"/>
              </w:rPr>
              <w:t>What habits help us read with humility?</w:t>
            </w:r>
          </w:p>
        </w:tc>
      </w:tr>
      <w:tr>
        <w:tc>
          <w:tcPr>
            <w:tcW w:type="dxa" w:w="3485"/>
            <w:tcBorders>
              <w:top w:sz="4" w:val="single" w:color="C9A66B"/>
              <w:left w:sz="4" w:val="single" w:color="C9A66B"/>
              <w:bottom w:sz="4" w:val="single" w:color="C9A66B"/>
              <w:right w:sz="4" w:val="single" w:color="C9A66B"/>
            </w:tcBorders>
          </w:tcPr>
          <w:p>
            <w:pPr>
              <w:spacing w:after="20"/>
            </w:pPr>
            <w:r>
              <w:rPr>
                <w:sz w:val="15"/>
              </w:rPr>
              <w:t>Truth and freedom</w:t>
            </w:r>
          </w:p>
        </w:tc>
        <w:tc>
          <w:tcPr>
            <w:tcW w:type="dxa" w:w="3485"/>
            <w:tcBorders>
              <w:top w:sz="4" w:val="single" w:color="C9A66B"/>
              <w:left w:sz="4" w:val="single" w:color="C9A66B"/>
              <w:bottom w:sz="4" w:val="single" w:color="C9A66B"/>
              <w:right w:sz="4" w:val="single" w:color="C9A66B"/>
            </w:tcBorders>
          </w:tcPr>
          <w:p>
            <w:pPr>
              <w:spacing w:after="20"/>
            </w:pPr>
            <w:r>
              <w:rPr>
                <w:sz w:val="15"/>
              </w:rPr>
              <w:t>John 8:31-32</w:t>
            </w:r>
          </w:p>
        </w:tc>
        <w:tc>
          <w:tcPr>
            <w:tcW w:type="dxa" w:w="3485"/>
            <w:tcBorders>
              <w:top w:sz="4" w:val="single" w:color="C9A66B"/>
              <w:left w:sz="4" w:val="single" w:color="C9A66B"/>
              <w:bottom w:sz="4" w:val="single" w:color="C9A66B"/>
              <w:right w:sz="4" w:val="single" w:color="C9A66B"/>
            </w:tcBorders>
          </w:tcPr>
          <w:p>
            <w:pPr>
              <w:spacing w:after="20"/>
            </w:pPr>
            <w:r>
              <w:rPr>
                <w:sz w:val="15"/>
              </w:rPr>
              <w:t>How should truth lead to obedience and peace?</w:t>
            </w:r>
          </w:p>
        </w:tc>
      </w:tr>
    </w:tbl>
    <w:p>
      <w:pPr>
        <w:pStyle w:val="Heading1"/>
      </w:pPr>
      <w:r>
        <w:t>Discussion Questions</w:t>
      </w:r>
    </w:p>
    <w:p>
      <w:pPr>
        <w:pStyle w:val="ListBullet"/>
        <w:spacing w:after="30"/>
        <w:ind w:left="259"/>
      </w:pPr>
      <w:r>
        <w:rPr>
          <w:sz w:val="18"/>
        </w:rPr>
        <w:t>What does the bread image teach about our need for Christ?</w:t>
      </w:r>
    </w:p>
    <w:p>
      <w:pPr>
        <w:pStyle w:val="ListBullet"/>
        <w:spacing w:after="30"/>
        <w:ind w:left="259"/>
      </w:pPr>
      <w:r>
        <w:rPr>
          <w:sz w:val="18"/>
        </w:rPr>
        <w:t>Why is Bible study incomplete without prayer?</w:t>
      </w:r>
    </w:p>
    <w:p>
      <w:pPr>
        <w:pStyle w:val="ListBullet"/>
        <w:spacing w:after="30"/>
        <w:ind w:left="259"/>
      </w:pPr>
      <w:r>
        <w:rPr>
          <w:sz w:val="18"/>
        </w:rPr>
        <w:t>How does Luke 24 connect the opened Word with the presence of the risen Lord?</w:t>
      </w:r>
    </w:p>
    <w:p>
      <w:pPr>
        <w:pStyle w:val="ListBullet"/>
        <w:spacing w:after="30"/>
        <w:ind w:left="259"/>
      </w:pPr>
      <w:r>
        <w:rPr>
          <w:sz w:val="18"/>
        </w:rPr>
        <w:t>What can keep a person from receiving Scripture as nourishment?</w:t>
      </w:r>
    </w:p>
    <w:p>
      <w:pPr>
        <w:pStyle w:val="ListBullet"/>
        <w:spacing w:after="30"/>
        <w:ind w:left="259"/>
      </w:pPr>
      <w:r>
        <w:rPr>
          <w:sz w:val="18"/>
        </w:rPr>
        <w:t>How can teachers help students move from facts to faithfulness?</w:t>
      </w:r>
    </w:p>
    <w:p>
      <w:pPr>
        <w:pStyle w:val="ListBullet"/>
        <w:spacing w:after="30"/>
        <w:ind w:left="259"/>
      </w:pPr>
      <w:r>
        <w:rPr>
          <w:sz w:val="18"/>
        </w:rPr>
        <w:t>Where does your group need truth to bring freedom and peace?</w:t>
      </w:r>
    </w:p>
    <w:p>
      <w:pPr>
        <w:pStyle w:val="ListBullet"/>
        <w:spacing w:after="30"/>
        <w:ind w:left="259"/>
      </w:pPr>
      <w:r>
        <w:rPr>
          <w:sz w:val="18"/>
        </w:rPr>
        <w:t>How might this hymn reshape the way your church prepares for sermons and classes?</w:t>
      </w:r>
    </w:p>
    <w:p>
      <w:pPr>
        <w:pStyle w:val="Heading1"/>
      </w:pPr>
      <w:r>
        <w:t>Practice This Week</w:t>
      </w:r>
    </w:p>
    <w:p>
      <w:pPr>
        <w:pStyle w:val="ListBullet"/>
        <w:spacing w:after="30"/>
        <w:ind w:left="259"/>
      </w:pPr>
      <w:r>
        <w:rPr>
          <w:sz w:val="18"/>
        </w:rPr>
        <w:t>Before reading Scripture each day, pray Psalm 119:18 slowly.</w:t>
      </w:r>
    </w:p>
    <w:p>
      <w:pPr>
        <w:pStyle w:val="ListBullet"/>
        <w:spacing w:after="30"/>
        <w:ind w:left="259"/>
      </w:pPr>
      <w:r>
        <w:rPr>
          <w:sz w:val="18"/>
        </w:rPr>
        <w:t>Read Luke 24:13-35 and note how Christ teaches, reveals, and sends.</w:t>
      </w:r>
    </w:p>
    <w:p>
      <w:pPr>
        <w:pStyle w:val="ListBullet"/>
        <w:spacing w:after="30"/>
        <w:ind w:left="259"/>
      </w:pPr>
      <w:r>
        <w:rPr>
          <w:sz w:val="18"/>
        </w:rPr>
        <w:t>Share one Scripture passage that has recently nourished your faith.</w:t>
      </w:r>
    </w:p>
    <w:p>
      <w:pPr>
        <w:pStyle w:val="ListBullet"/>
        <w:spacing w:after="30"/>
        <w:ind w:left="259"/>
      </w:pPr>
      <w:r>
        <w:rPr>
          <w:sz w:val="18"/>
        </w:rPr>
        <w:t>Encourage a teacher, preacher, or group leader who helps others hear God’s Word.</w:t>
      </w:r>
    </w:p>
    <w:p>
      <w:pPr>
        <w:pStyle w:val="Heading1"/>
      </w:pPr>
      <w:r>
        <w:t>Leader Notes</w:t>
      </w:r>
    </w:p>
    <w:p>
      <w:pPr>
        <w:spacing w:after="40"/>
      </w:pPr>
      <w:r>
        <w:t>Keep the discussion centered on Christ and Scripture. The hymn is not mainly about technique or religious study habits; it is a prayer that the Lord would feed his people through the Word. Allow space for testimony, but bring the group back to the passages listed above.</w:t>
      </w:r>
    </w:p>
    <w:p>
      <w:pPr>
        <w:pStyle w:val="Heading1"/>
      </w:pPr>
      <w:r>
        <w:t>Closing Prayer</w:t>
      </w:r>
    </w:p>
    <w:p>
      <w:pPr>
        <w:spacing w:after="40"/>
      </w:pPr>
      <w:r>
        <w:t>Lord Jesus, living Word and Bread of Life, open our eyes to your truth. Feed us through Scripture, free us by your grace, and make us faithful hearers and doers of your Word. Amen.</w:t>
      </w:r>
    </w:p>
    <w:p>
      <w:pPr>
        <w:jc w:val="center"/>
      </w:pPr>
      <w:r>
        <w:rPr>
          <w:color w:val="665B48"/>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pgBorders w:offsetFrom="page">
        <w:top w:val="single" w:sz="8" w:space="20" w:color="A66A2C"/>
        <w:left w:val="single" w:sz="8" w:space="20" w:color="A66A2C"/>
        <w:bottom w:val="single" w:sz="8" w:space="20" w:color="A66A2C"/>
        <w:right w:val="single" w:sz="8" w:space="20" w:color="A66A2C"/>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5B48"/>
        <w:sz w:val="14"/>
      </w:rPr>
      <w:t>Prepared for teaching and small group use - hymninfo.com   |   © HymnInfo.com. Free for personal, church, classroom, and small-group teaching use. Please do not sell, repost, or redistribute as downloadable files without permission.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outlineLvl w:val="0"/>
    </w:pPr>
    <w:rPr>
      <w:rFonts w:asciiTheme="majorHAnsi" w:eastAsiaTheme="majorEastAsia" w:hAnsiTheme="majorHAnsi" w:cstheme="majorBidi" w:ascii="Georgia" w:hAnsi="Georgia" w:eastAsia="Georgia"/>
      <w:b/>
      <w:bCs/>
      <w:color w:val="6A3D18"/>
      <w:sz w:val="27"/>
      <w:szCs w:val="28"/>
    </w:rPr>
  </w:style>
  <w:style w:type="paragraph" w:styleId="Heading2">
    <w:name w:val="heading 2"/>
    <w:basedOn w:val="Normal"/>
    <w:next w:val="Normal"/>
    <w:link w:val="Heading2Char"/>
    <w:uiPriority w:val="9"/>
    <w:unhideWhenUsed/>
    <w:qFormat/>
    <w:rsid w:val="00FC693F"/>
    <w:pPr>
      <w:keepNext/>
      <w:keepLines/>
      <w:spacing w:before="100" w:after="40"/>
      <w:outlineLvl w:val="1"/>
    </w:pPr>
    <w:rPr>
      <w:rFonts w:asciiTheme="majorHAnsi" w:eastAsiaTheme="majorEastAsia" w:hAnsiTheme="majorHAnsi" w:cstheme="majorBidi" w:ascii="Georgia" w:hAnsi="Georgia" w:eastAsia="Georgia"/>
      <w:b/>
      <w:bCs/>
      <w:color w:val="7A4A1E"/>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40" w:line="240" w:lineRule="auto" w:before="100"/>
      <w:contextualSpacing/>
    </w:pPr>
    <w:rPr>
      <w:rFonts w:asciiTheme="majorHAnsi" w:eastAsiaTheme="majorEastAsia" w:hAnsiTheme="majorHAnsi" w:cstheme="majorBidi" w:ascii="Georgia" w:hAnsi="Georgia" w:eastAsia="Georgia"/>
      <w:b/>
      <w:color w:val="5C2F12"/>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Break Thou the Bread of Life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