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Pr>
      <w:tblGrid>
        <w:gridCol w:w="10656"/>
      </w:tblGrid>
      <w:tr>
        <w:tc>
          <w:tcPr>
            <w:tcW w:type="dxa" w:w="10656"/>
            <w:shd w:fill="17324D"/>
          </w:tcPr>
          <w:p>
            <w:pPr>
              <w:spacing w:before="160" w:after="40"/>
              <w:jc w:val="center"/>
            </w:pPr>
            <w:r>
              <w:rPr>
                <w:rFonts w:ascii="Aptos Display" w:hAnsi="Aptos Display"/>
                <w:b/>
                <w:color w:val="FFFFFF"/>
                <w:sz w:val="40"/>
              </w:rPr>
              <w:t>I Know Not Why God's Wondrous Grace</w:t>
            </w:r>
          </w:p>
          <w:p>
            <w:pPr>
              <w:jc w:val="center"/>
            </w:pPr>
            <w:r>
              <w:rPr>
                <w:rFonts w:ascii="Aptos" w:hAnsi="Aptos"/>
                <w:i/>
                <w:color w:val="F6D48A"/>
                <w:sz w:val="22"/>
              </w:rPr>
              <w:t>Sermon Outline: Kept by the One We Know</w:t>
            </w:r>
          </w:p>
        </w:tc>
      </w:tr>
    </w:tbl>
    <w:p/>
    <w:p>
      <w:pPr>
        <w:pStyle w:val="Heading2"/>
      </w:pPr>
      <w:r>
        <w:rPr>
          <w:rFonts w:ascii="Aptos Display" w:hAnsi="Aptos Display"/>
          <w:color w:val="8B3E18"/>
        </w:rPr>
        <w:t>Main Text and Supporting Scriptures</w:t>
      </w:r>
    </w:p>
    <w:p>
      <w:pPr>
        <w:pStyle w:val="ListBullet"/>
        <w:spacing w:after="40"/>
      </w:pPr>
      <w:r>
        <w:rPr>
          <w:rFonts w:ascii="Aptos" w:hAnsi="Aptos"/>
          <w:sz w:val="20"/>
        </w:rPr>
        <w:t>Main text: 2 Timothy 1:12</w:t>
      </w:r>
    </w:p>
    <w:p>
      <w:pPr>
        <w:pStyle w:val="ListBullet"/>
        <w:spacing w:after="40"/>
      </w:pPr>
      <w:r>
        <w:rPr>
          <w:rFonts w:ascii="Aptos" w:hAnsi="Aptos"/>
          <w:sz w:val="20"/>
        </w:rPr>
        <w:t>Supporting texts: Ephesians 2:8-9; Romans 10:17; John 16:8; Romans 8:38-39; Jude 24-25</w:t>
      </w:r>
    </w:p>
    <w:p>
      <w:pPr>
        <w:pStyle w:val="Heading2"/>
      </w:pPr>
      <w:r>
        <w:rPr>
          <w:rFonts w:ascii="Aptos Display" w:hAnsi="Aptos Display"/>
          <w:color w:val="8B3E18"/>
        </w:rPr>
        <w:t>Big Idea</w:t>
      </w:r>
    </w:p>
    <w:p>
      <w:r>
        <w:t>Christian assurance rests not in understanding every mystery, but in knowing Christ and trusting His power to keep what we entrust to Him.</w:t>
      </w:r>
    </w:p>
    <w:p>
      <w:pPr>
        <w:pStyle w:val="Heading2"/>
      </w:pPr>
      <w:r>
        <w:rPr>
          <w:rFonts w:ascii="Aptos Display" w:hAnsi="Aptos Display"/>
          <w:color w:val="8B3E18"/>
        </w:rPr>
        <w:t>Introduction</w:t>
      </w:r>
    </w:p>
    <w:p>
      <w:r>
        <w:t>Every believer eventually faces questions that cannot be answered quickly. Why did grace come to me? Why does faith awaken in one heart and not another? Why does God lead through painful seasons? The hymn refuses to pretend that faith removes every mystery. Instead, it gives the church a stronger confession: “I know whom I have believed.”</w:t>
      </w:r>
    </w:p>
    <w:p>
      <w:pPr>
        <w:pStyle w:val="Heading2"/>
      </w:pPr>
      <w:r>
        <w:rPr>
          <w:rFonts w:ascii="Aptos Display" w:hAnsi="Aptos Display"/>
          <w:color w:val="8B3E18"/>
        </w:rPr>
        <w:t>I. Grace begins in God’s mercy, not our explanation</w:t>
      </w:r>
    </w:p>
    <w:p>
      <w:r>
        <w:rPr>
          <w:b/>
        </w:rPr>
        <w:t xml:space="preserve">Biblical support: </w:t>
      </w:r>
      <w:r>
        <w:t>Ephesians 2:8-9</w:t>
      </w:r>
    </w:p>
    <w:p>
      <w:r>
        <w:rPr>
          <w:b/>
        </w:rPr>
        <w:t xml:space="preserve">Explanation: </w:t>
      </w:r>
      <w:r>
        <w:t>The hymn opens with wonder over “God’s wondrous grace.” Grace is not a wage, a prize, or an achievement. It is God’s gift to sinners who cannot save themselves.</w:t>
      </w:r>
    </w:p>
    <w:p>
      <w:r>
        <w:rPr>
          <w:b/>
        </w:rPr>
        <w:t xml:space="preserve">Hymn connection: </w:t>
      </w:r>
      <w:r>
        <w:t>The hymn repeatedly contrasts “I know not” with the settled confession that the believer knows Christ and trusts His keeping power.</w:t>
      </w:r>
    </w:p>
    <w:p>
      <w:r>
        <w:rPr>
          <w:b/>
        </w:rPr>
        <w:t xml:space="preserve">Illustration idea: </w:t>
      </w:r>
      <w:r>
        <w:t>Use the image of receiving an unexpected pardon: the rescued person may not know every legal detail, but he knows he has been set free.</w:t>
      </w:r>
    </w:p>
    <w:p>
      <w:r>
        <w:rPr>
          <w:b/>
        </w:rPr>
        <w:t xml:space="preserve">Application: </w:t>
      </w:r>
      <w:r>
        <w:t>Call hearers to stop making worthiness the ground of peace. Receive grace as gift.</w:t>
      </w:r>
    </w:p>
    <w:p>
      <w:pPr>
        <w:pStyle w:val="Heading2"/>
      </w:pPr>
      <w:r>
        <w:rPr>
          <w:rFonts w:ascii="Aptos Display" w:hAnsi="Aptos Display"/>
          <w:color w:val="8B3E18"/>
        </w:rPr>
        <w:t>II. Faith rests on Christ, not on complete understanding</w:t>
      </w:r>
    </w:p>
    <w:p>
      <w:r>
        <w:rPr>
          <w:b/>
        </w:rPr>
        <w:t xml:space="preserve">Biblical support: </w:t>
      </w:r>
      <w:r>
        <w:t>2 Timothy 1:12</w:t>
      </w:r>
    </w:p>
    <w:p>
      <w:r>
        <w:rPr>
          <w:b/>
        </w:rPr>
        <w:t xml:space="preserve">Explanation: </w:t>
      </w:r>
      <w:r>
        <w:t>Paul’s confidence in prison is personal before it is analytical. He says he knows the One in whom he has believed. Assurance is relational trust in Christ.</w:t>
      </w:r>
    </w:p>
    <w:p>
      <w:r>
        <w:rPr>
          <w:b/>
        </w:rPr>
        <w:t xml:space="preserve">Hymn connection: </w:t>
      </w:r>
      <w:r>
        <w:t>The hymn repeatedly contrasts “I know not” with the settled confession that the believer knows Christ and trusts His keeping power.</w:t>
      </w:r>
    </w:p>
    <w:p>
      <w:r>
        <w:rPr>
          <w:b/>
        </w:rPr>
        <w:t xml:space="preserve">Illustration idea: </w:t>
      </w:r>
      <w:r>
        <w:t>A child crossing a difficult road may not understand traffic patterns, but trusts the strong hand holding him.</w:t>
      </w:r>
    </w:p>
    <w:p>
      <w:r>
        <w:rPr>
          <w:b/>
        </w:rPr>
        <w:t xml:space="preserve">Application: </w:t>
      </w:r>
      <w:r>
        <w:t>Urge doubting believers to bring their questions to Christ while continuing to cling to Him.</w:t>
      </w:r>
    </w:p>
    <w:p>
      <w:pPr>
        <w:pStyle w:val="Heading2"/>
      </w:pPr>
      <w:r>
        <w:rPr>
          <w:rFonts w:ascii="Aptos Display" w:hAnsi="Aptos Display"/>
          <w:color w:val="8B3E18"/>
        </w:rPr>
        <w:t>III. The Word and Spirit awaken trust</w:t>
      </w:r>
    </w:p>
    <w:p>
      <w:r>
        <w:rPr>
          <w:b/>
        </w:rPr>
        <w:t xml:space="preserve">Biblical support: </w:t>
      </w:r>
      <w:r>
        <w:t>Romans 10:17; John 16:8</w:t>
      </w:r>
    </w:p>
    <w:p>
      <w:r>
        <w:rPr>
          <w:b/>
        </w:rPr>
        <w:t xml:space="preserve">Explanation: </w:t>
      </w:r>
      <w:r>
        <w:t>Saving faith is not self-produced optimism. God speaks through His Word, and the Spirit convicts, draws, and gives light.</w:t>
      </w:r>
    </w:p>
    <w:p>
      <w:r>
        <w:rPr>
          <w:b/>
        </w:rPr>
        <w:t xml:space="preserve">Hymn connection: </w:t>
      </w:r>
      <w:r>
        <w:t>The hymn repeatedly contrasts “I know not” with the settled confession that the believer knows Christ and trusts His keeping power.</w:t>
      </w:r>
    </w:p>
    <w:p>
      <w:r>
        <w:rPr>
          <w:b/>
        </w:rPr>
        <w:t xml:space="preserve">Illustration idea: </w:t>
      </w:r>
      <w:r>
        <w:t>A dark room changes when a window is opened; the light does what the room cannot do for itself.</w:t>
      </w:r>
    </w:p>
    <w:p>
      <w:r>
        <w:rPr>
          <w:b/>
        </w:rPr>
        <w:t xml:space="preserve">Application: </w:t>
      </w:r>
      <w:r>
        <w:t>Invite the congregation to place themselves regularly under Scripture and prayerfully ask for the Spirit’s work.</w:t>
      </w:r>
    </w:p>
    <w:p>
      <w:pPr>
        <w:pStyle w:val="Heading2"/>
      </w:pPr>
      <w:r>
        <w:rPr>
          <w:rFonts w:ascii="Aptos Display" w:hAnsi="Aptos Display"/>
          <w:color w:val="8B3E18"/>
        </w:rPr>
        <w:t>IV. Christ guards what we commit to Him</w:t>
      </w:r>
    </w:p>
    <w:p>
      <w:r>
        <w:rPr>
          <w:b/>
        </w:rPr>
        <w:t xml:space="preserve">Biblical support: </w:t>
      </w:r>
      <w:r>
        <w:t>2 Timothy 1:12; Romans 8:38-39</w:t>
      </w:r>
    </w:p>
    <w:p>
      <w:r>
        <w:rPr>
          <w:b/>
        </w:rPr>
        <w:t xml:space="preserve">Explanation: </w:t>
      </w:r>
      <w:r>
        <w:t>The heart of the hymn is the keeping power of Christ. We commit ourselves to Him, and He is able to guard what we cannot preserve by our own strength.</w:t>
      </w:r>
    </w:p>
    <w:p>
      <w:r>
        <w:rPr>
          <w:b/>
        </w:rPr>
        <w:t xml:space="preserve">Hymn connection: </w:t>
      </w:r>
      <w:r>
        <w:t>The hymn repeatedly contrasts “I know not” with the settled confession that the believer knows Christ and trusts His keeping power.</w:t>
      </w:r>
    </w:p>
    <w:p>
      <w:r>
        <w:rPr>
          <w:b/>
        </w:rPr>
        <w:t xml:space="preserve">Illustration idea: </w:t>
      </w:r>
      <w:r>
        <w:t>A valuable deposit is safer in a faithful guardian’s hands than in anxious, weak hands.</w:t>
      </w:r>
    </w:p>
    <w:p>
      <w:r>
        <w:rPr>
          <w:b/>
        </w:rPr>
        <w:t xml:space="preserve">Application: </w:t>
      </w:r>
      <w:r>
        <w:t>Name the burdens people carry: salvation, family, grief, future, weakness. Call them to entrust these to Christ.</w:t>
      </w:r>
    </w:p>
    <w:p>
      <w:pPr>
        <w:pStyle w:val="Heading2"/>
      </w:pPr>
      <w:r>
        <w:rPr>
          <w:rFonts w:ascii="Aptos Display" w:hAnsi="Aptos Display"/>
          <w:color w:val="8B3E18"/>
        </w:rPr>
        <w:t>V. Hope looks toward “that day” with confidence</w:t>
      </w:r>
    </w:p>
    <w:p>
      <w:r>
        <w:rPr>
          <w:b/>
        </w:rPr>
        <w:t xml:space="preserve">Biblical support: </w:t>
      </w:r>
      <w:r>
        <w:t>Jude 24-25</w:t>
      </w:r>
    </w:p>
    <w:p>
      <w:r>
        <w:rPr>
          <w:b/>
        </w:rPr>
        <w:t xml:space="preserve">Explanation: </w:t>
      </w:r>
      <w:r>
        <w:t>The hymn’s assurance stretches to the final day. God is able not only to begin salvation but to complete it, presenting His people before His glory with joy.</w:t>
      </w:r>
    </w:p>
    <w:p>
      <w:r>
        <w:rPr>
          <w:b/>
        </w:rPr>
        <w:t xml:space="preserve">Hymn connection: </w:t>
      </w:r>
      <w:r>
        <w:t>The hymn repeatedly contrasts “I know not” with the settled confession that the believer knows Christ and trusts His keeping power.</w:t>
      </w:r>
    </w:p>
    <w:p>
      <w:r>
        <w:rPr>
          <w:b/>
        </w:rPr>
        <w:t xml:space="preserve">Illustration idea: </w:t>
      </w:r>
      <w:r>
        <w:t>A long journey feels different when the traveler knows the destination and the guide will not abandon him.</w:t>
      </w:r>
    </w:p>
    <w:p>
      <w:r>
        <w:rPr>
          <w:b/>
        </w:rPr>
        <w:t xml:space="preserve">Application: </w:t>
      </w:r>
      <w:r>
        <w:t>Encourage perseverance: present uncertainty is not the final word; Christ’s faithfulness is.</w:t>
      </w:r>
    </w:p>
    <w:p>
      <w:pPr>
        <w:pStyle w:val="Heading2"/>
      </w:pPr>
      <w:r>
        <w:rPr>
          <w:rFonts w:ascii="Aptos Display" w:hAnsi="Aptos Display"/>
          <w:color w:val="8B3E18"/>
        </w:rPr>
        <w:t>Christ-Centered Connection</w:t>
      </w:r>
    </w:p>
    <w:p>
      <w:r>
        <w:t>The gospel does not ask sinners to be saved by the strength of their understanding. It calls them to Christ, the crucified and risen Savior. The same Lord who receives sinners also keeps them. The believer’s confidence is not “I have solved every mystery,” but “I know Christ, and Christ is able.”</w:t>
      </w:r>
    </w:p>
    <w:p>
      <w:pPr>
        <w:pStyle w:val="Heading2"/>
      </w:pPr>
      <w:r>
        <w:rPr>
          <w:rFonts w:ascii="Aptos Display" w:hAnsi="Aptos Display"/>
          <w:color w:val="8B3E18"/>
        </w:rPr>
        <w:t>Pastoral Applications</w:t>
      </w:r>
    </w:p>
    <w:p>
      <w:pPr>
        <w:pStyle w:val="ListBullet"/>
        <w:spacing w:after="40"/>
      </w:pPr>
      <w:r>
        <w:rPr>
          <w:rFonts w:ascii="Aptos" w:hAnsi="Aptos"/>
          <w:sz w:val="20"/>
        </w:rPr>
        <w:t>For the anxious: Christ’s grip is stronger than your fear.</w:t>
      </w:r>
    </w:p>
    <w:p>
      <w:pPr>
        <w:pStyle w:val="ListBullet"/>
        <w:spacing w:after="40"/>
      </w:pPr>
      <w:r>
        <w:rPr>
          <w:rFonts w:ascii="Aptos" w:hAnsi="Aptos"/>
          <w:sz w:val="20"/>
        </w:rPr>
        <w:t>For the doubting: honest questions can become prayers of trust rather than exits from faith.</w:t>
      </w:r>
    </w:p>
    <w:p>
      <w:pPr>
        <w:pStyle w:val="ListBullet"/>
        <w:spacing w:after="40"/>
      </w:pPr>
      <w:r>
        <w:rPr>
          <w:rFonts w:ascii="Aptos" w:hAnsi="Aptos"/>
          <w:sz w:val="20"/>
        </w:rPr>
        <w:t>For the weary: God does not ask you to keep yourself by your own strength.</w:t>
      </w:r>
    </w:p>
    <w:p>
      <w:pPr>
        <w:pStyle w:val="ListBullet"/>
        <w:spacing w:after="40"/>
      </w:pPr>
      <w:r>
        <w:rPr>
          <w:rFonts w:ascii="Aptos" w:hAnsi="Aptos"/>
          <w:sz w:val="20"/>
        </w:rPr>
        <w:t>For the joyful: let assurance become humble thanksgiving, not pride.</w:t>
      </w:r>
    </w:p>
    <w:p>
      <w:pPr>
        <w:pStyle w:val="ListBullet"/>
        <w:spacing w:after="40"/>
      </w:pPr>
      <w:r>
        <w:rPr>
          <w:rFonts w:ascii="Aptos" w:hAnsi="Aptos"/>
          <w:sz w:val="20"/>
        </w:rPr>
        <w:t>For the repentant: grace is a gift, and Christ receives those who come to Him.</w:t>
      </w:r>
    </w:p>
    <w:p>
      <w:pPr>
        <w:pStyle w:val="ListBullet"/>
        <w:spacing w:after="40"/>
      </w:pPr>
      <w:r>
        <w:rPr>
          <w:rFonts w:ascii="Aptos" w:hAnsi="Aptos"/>
          <w:sz w:val="20"/>
        </w:rPr>
        <w:t>For the hopeful: “that day” belongs to the Lord who keeps His promise.</w:t>
      </w:r>
    </w:p>
    <w:p>
      <w:pPr>
        <w:pStyle w:val="Heading2"/>
      </w:pPr>
      <w:r>
        <w:rPr>
          <w:rFonts w:ascii="Aptos Display" w:hAnsi="Aptos Display"/>
          <w:color w:val="8B3E18"/>
        </w:rPr>
        <w:t>Conclusion and Call to Response</w:t>
      </w:r>
    </w:p>
    <w:p>
      <w:r>
        <w:t>Do not wait until every question is answered before entrusting yourself to Christ. The call of the gospel is personal and immediate: know Him, believe Him, and commit yourself to the One who is able to guard you until the final day.</w:t>
      </w:r>
    </w:p>
    <w:p>
      <w:pPr>
        <w:pStyle w:val="Heading2"/>
      </w:pPr>
      <w:r>
        <w:rPr>
          <w:rFonts w:ascii="Aptos Display" w:hAnsi="Aptos Display"/>
          <w:color w:val="8B3E18"/>
        </w:rPr>
        <w:t>Suggested Closing Prayer</w:t>
      </w:r>
    </w:p>
    <w:p>
      <w:r>
        <w:t>Faithful Savior, we entrust ourselves to You. Where our understanding is small, strengthen our faith. Where our hearts are anxious, speak Your Word. Where our sins accuse us, remind us of Your grace. Keep us by Your power until that day, and make our lives a testimony to Your faithfulness. Amen.</w:t>
      </w:r>
    </w:p>
    <w:p>
      <w:pPr>
        <w:jc w:val="center"/>
      </w:pPr>
      <w:r>
        <w:rPr>
          <w:color w:val="666666"/>
          <w:sz w:val="16"/>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792" w:bottom="792" w:left="792" w:header="720"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6666"/>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outlineLvl w:val="0"/>
    </w:pPr>
    <w:rPr>
      <w:rFonts w:asciiTheme="majorHAnsi" w:eastAsiaTheme="majorEastAsia" w:hAnsiTheme="majorHAnsi" w:cstheme="majorBidi" w:ascii="Aptos Display" w:hAnsi="Aptos Display"/>
      <w:b/>
      <w:bCs/>
      <w:color w:val="17324D"/>
      <w:sz w:val="28"/>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ptos Display" w:hAnsi="Aptos Display"/>
      <w:b/>
      <w:bCs/>
      <w:color w:val="8B3E18"/>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ptos Display" w:hAnsi="Aptos Display"/>
      <w:b/>
      <w:bCs/>
      <w:color w:val="8B3E1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Aptos" w:hAnsi="Aptos"/>
      <w:sz w:val="20"/>
    </w:rPr>
  </w:style>
  <w:style w:type="paragraph" w:styleId="ListBullet2">
    <w:name w:val="List Bullet 2"/>
    <w:basedOn w:val="Normal"/>
    <w:uiPriority w:val="99"/>
    <w:unhideWhenUsed/>
    <w:rsid w:val="00326F90"/>
    <w:pPr>
      <w:numPr>
        <w:numId w:val="2"/>
      </w:numPr>
      <w:contextualSpacing/>
    </w:pPr>
    <w:rPr>
      <w:rFonts w:ascii="Aptos" w:hAnsi="Aptos"/>
      <w:sz w:val="20"/>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Know Not Why God's Wondrous Grace</dc:title>
  <dc:subject>Hymn study resource</dc:subject>
  <dc:creator>HymnInfo.com</dc:creator>
  <cp:keywords>hymn study, Christian worship, church teaching, HymnInfo</cp:keywords>
  <dc:description/>
  <cp:lastModifiedBy/>
  <cp:revision>1</cp:revision>
  <dcterms:created xsi:type="dcterms:W3CDTF">2013-12-23T23:15:00Z</dcterms:created>
  <dcterms:modified xsi:type="dcterms:W3CDTF">2013-12-23T23:15:00Z</dcterms:modified>
  <cp:category>Hymn study resource</cp:category>
</cp:coreProperties>
</file>