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656"/>
      </w:tblGrid>
      <w:tr>
        <w:tc>
          <w:tcPr>
            <w:tcW w:type="dxa" w:w="10656"/>
            <w:shd w:fill="17324D"/>
          </w:tcPr>
          <w:p>
            <w:pPr>
              <w:spacing w:before="160" w:after="40"/>
              <w:jc w:val="center"/>
            </w:pPr>
            <w:r>
              <w:rPr>
                <w:rFonts w:ascii="Aptos Display" w:hAnsi="Aptos Display"/>
                <w:b/>
                <w:color w:val="FFFFFF"/>
                <w:sz w:val="40"/>
              </w:rPr>
              <w:t>I Know Not Why God's Wondrous Grace</w:t>
            </w:r>
          </w:p>
          <w:p>
            <w:pPr>
              <w:jc w:val="center"/>
            </w:pPr>
            <w:r>
              <w:rPr>
                <w:rFonts w:ascii="Aptos" w:hAnsi="Aptos"/>
                <w:i/>
                <w:color w:val="F6D48A"/>
                <w:sz w:val="22"/>
              </w:rPr>
              <w:t>Small Group Handout: Assurance in Christ amid honest questions</w:t>
            </w:r>
          </w:p>
        </w:tc>
      </w:tr>
    </w:tbl>
    <w:p/>
    <w:p>
      <w:pPr>
        <w:jc w:val="left"/>
      </w:pPr>
      <w:r>
        <w:rPr>
          <w:b/>
          <w:color w:val="17324D"/>
        </w:rPr>
        <w:t xml:space="preserve">Purpose: </w:t>
      </w:r>
      <w:r>
        <w:t>This study helps a group name the mysteries of grace, faith, and the future while resting in the Savior who keeps his people.</w:t>
      </w:r>
    </w:p>
    <w:p>
      <w:pPr>
        <w:pStyle w:val="Heading2"/>
      </w:pPr>
      <w:r>
        <w:rPr>
          <w:rFonts w:ascii="Aptos Display" w:hAnsi="Aptos Display"/>
          <w:color w:val="8B3E18"/>
        </w:rPr>
        <w:t>Opening Reflection</w:t>
      </w:r>
    </w:p>
    <w:p>
      <w:pPr>
        <w:pStyle w:val="ListBullet"/>
        <w:spacing w:after="40"/>
      </w:pPr>
      <w:r>
        <w:rPr>
          <w:rFonts w:ascii="Aptos" w:hAnsi="Aptos"/>
          <w:sz w:val="20"/>
        </w:rPr>
        <w:t>When have you had to trust Christ without understanding every detail?</w:t>
      </w:r>
    </w:p>
    <w:p>
      <w:pPr>
        <w:pStyle w:val="ListBullet"/>
        <w:spacing w:after="40"/>
      </w:pPr>
      <w:r>
        <w:rPr>
          <w:rFonts w:ascii="Aptos" w:hAnsi="Aptos"/>
          <w:sz w:val="20"/>
        </w:rPr>
        <w:t>What makes a promise trustworthy: the words themselves, or the person who makes them?</w:t>
      </w:r>
    </w:p>
    <w:p>
      <w:pPr>
        <w:pStyle w:val="ListBullet"/>
        <w:spacing w:after="40"/>
      </w:pPr>
      <w:r>
        <w:rPr>
          <w:rFonts w:ascii="Aptos" w:hAnsi="Aptos"/>
          <w:sz w:val="20"/>
        </w:rPr>
        <w:t>How can unanswered questions either trouble faith or drive us deeper into Christ?</w:t>
      </w:r>
    </w:p>
    <w:p>
      <w:pPr>
        <w:pStyle w:val="Heading2"/>
      </w:pPr>
      <w:r>
        <w:rPr>
          <w:rFonts w:ascii="Aptos Display" w:hAnsi="Aptos Display"/>
          <w:color w:val="8B3E18"/>
        </w:rPr>
        <w:t>Brief Hymn Background</w:t>
      </w:r>
    </w:p>
    <w:p>
      <w:r>
        <w:rPr>
          <w:b/>
        </w:rPr>
        <w:t xml:space="preserve">Daniel Webster Whittle </w:t>
      </w:r>
      <w:r>
        <w:t xml:space="preserve">wrote this nineteenth-century gospel hymn, often known as “I Know Whom I Have Believed.” Whittle, remembered as Major Whittle, served as an evangelist and hymn writer and often used the name “El Nathan.” </w:t>
      </w:r>
      <w:r>
        <w:rPr>
          <w:b/>
        </w:rPr>
        <w:t xml:space="preserve">James McGranahan </w:t>
      </w:r>
      <w:r>
        <w:t>composed the tune EL NATHAN for the text. The hymn belongs to the American gospel-song tradition connected with evangelistic preaching and congregational testimony.</w:t>
      </w:r>
    </w:p>
    <w:p>
      <w:pPr>
        <w:pStyle w:val="ListBullet"/>
        <w:spacing w:after="40"/>
      </w:pPr>
      <w:r>
        <w:rPr>
          <w:rFonts w:ascii="Aptos" w:hAnsi="Aptos"/>
          <w:sz w:val="20"/>
        </w:rPr>
        <w:t>First line: “I know not why God’s wondrous grace”</w:t>
      </w:r>
    </w:p>
    <w:p>
      <w:pPr>
        <w:pStyle w:val="ListBullet"/>
        <w:spacing w:after="40"/>
      </w:pPr>
      <w:r>
        <w:rPr>
          <w:rFonts w:ascii="Aptos" w:hAnsi="Aptos"/>
          <w:sz w:val="20"/>
        </w:rPr>
        <w:t>Common title: “I Know Whom I Have Believed”</w:t>
      </w:r>
    </w:p>
    <w:p>
      <w:pPr>
        <w:pStyle w:val="ListBullet"/>
        <w:spacing w:after="40"/>
      </w:pPr>
      <w:r>
        <w:rPr>
          <w:rFonts w:ascii="Aptos" w:hAnsi="Aptos"/>
          <w:sz w:val="20"/>
        </w:rPr>
        <w:t>Date commonly associated with the hymn: early 1880s; securely in circulation by 1887</w:t>
      </w:r>
    </w:p>
    <w:p>
      <w:pPr>
        <w:pStyle w:val="ListBullet"/>
        <w:spacing w:after="40"/>
      </w:pPr>
      <w:r>
        <w:rPr>
          <w:rFonts w:ascii="Aptos" w:hAnsi="Aptos"/>
          <w:sz w:val="20"/>
        </w:rPr>
        <w:t>Tune: EL NATHAN; meter commonly printed as common meter with refrain</w:t>
      </w:r>
    </w:p>
    <w:p>
      <w:pPr>
        <w:pStyle w:val="Heading2"/>
      </w:pPr>
      <w:r>
        <w:rPr>
          <w:rFonts w:ascii="Aptos Display" w:hAnsi="Aptos Display"/>
          <w:color w:val="8B3E18"/>
        </w:rPr>
        <w:t>Scripture Foundation</w:t>
      </w:r>
    </w:p>
    <w:p>
      <w:r>
        <w:rPr>
          <w:b/>
        </w:rPr>
        <w:t xml:space="preserve">Primary text: 2 Timothy 1:12. </w:t>
      </w:r>
      <w:r>
        <w:t>Paul speaks from suffering, yet he is not ashamed because he knows the One in whom he has believed and is persuaded that God is able to guard what has been entrusted to Him until the final day.</w:t>
      </w:r>
    </w:p>
    <w:p>
      <w:pPr>
        <w:pStyle w:val="ListBullet"/>
        <w:spacing w:after="40"/>
      </w:pPr>
      <w:r>
        <w:rPr>
          <w:rFonts w:ascii="Aptos" w:hAnsi="Aptos"/>
          <w:sz w:val="20"/>
        </w:rPr>
        <w:t>Ephesians 2:8-9 - salvation is God’s gift by grace through faith.</w:t>
      </w:r>
    </w:p>
    <w:p>
      <w:pPr>
        <w:pStyle w:val="ListBullet"/>
        <w:spacing w:after="40"/>
      </w:pPr>
      <w:r>
        <w:rPr>
          <w:rFonts w:ascii="Aptos" w:hAnsi="Aptos"/>
          <w:sz w:val="20"/>
        </w:rPr>
        <w:t>Romans 10:17 - faith comes by hearing the word of God.</w:t>
      </w:r>
    </w:p>
    <w:p>
      <w:pPr>
        <w:pStyle w:val="ListBullet"/>
        <w:spacing w:after="40"/>
      </w:pPr>
      <w:r>
        <w:rPr>
          <w:rFonts w:ascii="Aptos" w:hAnsi="Aptos"/>
          <w:sz w:val="20"/>
        </w:rPr>
        <w:t>John 16:8 - the Spirit convicts concerning sin, righteousness, and judgment.</w:t>
      </w:r>
    </w:p>
    <w:p>
      <w:pPr>
        <w:pStyle w:val="ListBullet"/>
        <w:spacing w:after="40"/>
      </w:pPr>
      <w:r>
        <w:rPr>
          <w:rFonts w:ascii="Aptos" w:hAnsi="Aptos"/>
          <w:sz w:val="20"/>
        </w:rPr>
        <w:t>Romans 8:38-39 - nothing can separate believers from God’s love in Christ.</w:t>
      </w:r>
    </w:p>
    <w:p>
      <w:pPr>
        <w:pStyle w:val="ListBullet"/>
        <w:spacing w:after="40"/>
      </w:pPr>
      <w:r>
        <w:rPr>
          <w:rFonts w:ascii="Aptos" w:hAnsi="Aptos"/>
          <w:sz w:val="20"/>
        </w:rPr>
        <w:t>Jude 24-25 - God is able to keep His people and present them in joy.</w:t>
      </w:r>
    </w:p>
    <w:p>
      <w:pPr>
        <w:pStyle w:val="Heading2"/>
      </w:pPr>
      <w:r>
        <w:rPr>
          <w:rFonts w:ascii="Aptos Display" w:hAnsi="Aptos Display"/>
          <w:color w:val="8B3E18"/>
        </w:rPr>
        <w:t>Hymn-Section Study</w:t>
      </w:r>
    </w:p>
    <w:p>
      <w:pPr>
        <w:spacing w:after="40"/>
      </w:pPr>
      <w:r>
        <w:rPr>
          <w:b/>
          <w:color w:val="8B3E18"/>
        </w:rPr>
        <w:t xml:space="preserve">Grace Beyond Explanation: </w:t>
      </w:r>
      <w:r>
        <w:t>The hymn begins with wonder. The believer cannot fully explain why God’s grace reached him, but faith can still receive the gift. This connects naturally with Ephesians 2:8-9.</w:t>
      </w:r>
    </w:p>
    <w:p>
      <w:pPr>
        <w:spacing w:after="40"/>
      </w:pPr>
      <w:r>
        <w:rPr>
          <w:b/>
          <w:color w:val="8B3E18"/>
        </w:rPr>
        <w:t xml:space="preserve">Faith Awakened by the Word: </w:t>
      </w:r>
      <w:r>
        <w:t>The hymn points beyond vague optimism to trust formed by hearing God’s Word. Romans 10:17 gives the biblical pattern: faith is called forth by God’s message.</w:t>
      </w:r>
    </w:p>
    <w:p>
      <w:pPr>
        <w:spacing w:after="40"/>
      </w:pPr>
      <w:r>
        <w:rPr>
          <w:b/>
          <w:color w:val="8B3E18"/>
        </w:rPr>
        <w:t xml:space="preserve">The Spirit’s Hidden Work: </w:t>
      </w:r>
      <w:r>
        <w:t>Whittle’s text admits that the inward work of the Spirit is mysterious. John 16:8 keeps that mystery biblical: the Spirit convicts, awakens, and draws sinners toward Christ.</w:t>
      </w:r>
    </w:p>
    <w:p>
      <w:pPr>
        <w:spacing w:after="40"/>
      </w:pPr>
      <w:r>
        <w:rPr>
          <w:b/>
          <w:color w:val="8B3E18"/>
        </w:rPr>
        <w:t xml:space="preserve">Christ Guards What We Entrust: </w:t>
      </w:r>
      <w:r>
        <w:t>The central assurance is not that believers understand everything, but that Christ is able to keep what has been committed to Him. This is the heart of 2 Timothy 1:12.</w:t>
      </w:r>
    </w:p>
    <w:p>
      <w:pPr>
        <w:spacing w:after="40"/>
      </w:pPr>
      <w:r>
        <w:rPr>
          <w:b/>
          <w:color w:val="8B3E18"/>
        </w:rPr>
        <w:t xml:space="preserve">Confidence Until That Day: </w:t>
      </w:r>
      <w:r>
        <w:t>The hymn looks toward the final day with settled hope. Romans 8 and Jude 24-25 show why: God keeps His people by His own faithful power.</w:t>
      </w:r>
    </w:p>
    <w:p>
      <w:pPr>
        <w:pStyle w:val="Heading2"/>
      </w:pPr>
      <w:r>
        <w:rPr>
          <w:rFonts w:ascii="Aptos Display" w:hAnsi="Aptos Display"/>
          <w:color w:val="8B3E18"/>
        </w:rPr>
        <w:t>Study Table</w:t>
      </w:r>
    </w:p>
    <w:tbl>
      <w:tblPr>
        <w:tblStyle w:val="TableGrid"/>
        <w:tblW w:type="auto" w:w="0"/>
        <w:jc w:val="center"/>
        <w:tblLook w:firstColumn="1" w:firstRow="1" w:lastColumn="0" w:lastRow="0" w:noHBand="0" w:noVBand="1" w:val="04A0"/>
      </w:tblPr>
      <w:tblGrid>
        <w:gridCol w:w="3552"/>
        <w:gridCol w:w="3552"/>
        <w:gridCol w:w="3552"/>
      </w:tblGrid>
      <w:tr>
        <w:tc>
          <w:tcPr>
            <w:tcW w:type="dxa" w:w="3552"/>
            <w:shd w:fill="17324D"/>
          </w:tcPr>
          <w:p>
            <w:pPr>
              <w:jc w:val="left"/>
            </w:pPr>
            <w:r>
              <w:rPr>
                <w:rFonts w:ascii="Aptos" w:hAnsi="Aptos"/>
                <w:b/>
                <w:color w:val="FFFFFF"/>
                <w:sz w:val="18"/>
              </w:rPr>
              <w:t>Hymn Theme</w:t>
            </w:r>
          </w:p>
        </w:tc>
        <w:tc>
          <w:tcPr>
            <w:tcW w:type="dxa" w:w="3552"/>
            <w:shd w:fill="17324D"/>
          </w:tcPr>
          <w:p>
            <w:pPr>
              <w:jc w:val="left"/>
            </w:pPr>
            <w:r>
              <w:rPr>
                <w:rFonts w:ascii="Aptos" w:hAnsi="Aptos"/>
                <w:b/>
                <w:color w:val="FFFFFF"/>
                <w:sz w:val="18"/>
              </w:rPr>
              <w:t>Scripture Connection</w:t>
            </w:r>
          </w:p>
        </w:tc>
        <w:tc>
          <w:tcPr>
            <w:tcW w:type="dxa" w:w="3552"/>
            <w:shd w:fill="17324D"/>
          </w:tcPr>
          <w:p>
            <w:pPr>
              <w:jc w:val="left"/>
            </w:pPr>
            <w:r>
              <w:rPr>
                <w:rFonts w:ascii="Aptos" w:hAnsi="Aptos"/>
                <w:b/>
                <w:color w:val="FFFFFF"/>
                <w:sz w:val="18"/>
              </w:rPr>
              <w:t>Discussion Prompt</w:t>
            </w:r>
          </w:p>
        </w:tc>
      </w:tr>
      <w:tr>
        <w:tc>
          <w:tcPr>
            <w:tcW w:type="dxa" w:w="3552"/>
            <w:vAlign w:val="top"/>
          </w:tcPr>
          <w:p>
            <w:pPr>
              <w:jc w:val="left"/>
            </w:pPr>
            <w:r>
              <w:rPr>
                <w:rFonts w:ascii="Aptos" w:hAnsi="Aptos"/>
                <w:b w:val="0"/>
                <w:sz w:val="18"/>
              </w:rPr>
              <w:t>Grace</w:t>
            </w:r>
          </w:p>
        </w:tc>
        <w:tc>
          <w:tcPr>
            <w:tcW w:type="dxa" w:w="3552"/>
            <w:vAlign w:val="top"/>
          </w:tcPr>
          <w:p>
            <w:pPr>
              <w:jc w:val="left"/>
            </w:pPr>
            <w:r>
              <w:rPr>
                <w:rFonts w:ascii="Aptos" w:hAnsi="Aptos"/>
                <w:b w:val="0"/>
                <w:sz w:val="18"/>
              </w:rPr>
              <w:t>Ephesians 2:8-9</w:t>
            </w:r>
          </w:p>
        </w:tc>
        <w:tc>
          <w:tcPr>
            <w:tcW w:type="dxa" w:w="3552"/>
            <w:vAlign w:val="top"/>
          </w:tcPr>
          <w:p>
            <w:pPr>
              <w:jc w:val="left"/>
            </w:pPr>
            <w:r>
              <w:rPr>
                <w:rFonts w:ascii="Aptos" w:hAnsi="Aptos"/>
                <w:b w:val="0"/>
                <w:sz w:val="18"/>
              </w:rPr>
              <w:t>Why must assurance begin with God’s gift rather than our worthiness?</w:t>
            </w:r>
          </w:p>
        </w:tc>
      </w:tr>
      <w:tr>
        <w:tc>
          <w:tcPr>
            <w:tcW w:type="dxa" w:w="3552"/>
            <w:vAlign w:val="top"/>
          </w:tcPr>
          <w:p>
            <w:pPr>
              <w:jc w:val="left"/>
            </w:pPr>
            <w:r>
              <w:rPr>
                <w:rFonts w:ascii="Aptos" w:hAnsi="Aptos"/>
                <w:b w:val="0"/>
                <w:sz w:val="18"/>
              </w:rPr>
              <w:t>Faith</w:t>
            </w:r>
          </w:p>
        </w:tc>
        <w:tc>
          <w:tcPr>
            <w:tcW w:type="dxa" w:w="3552"/>
            <w:vAlign w:val="top"/>
          </w:tcPr>
          <w:p>
            <w:pPr>
              <w:jc w:val="left"/>
            </w:pPr>
            <w:r>
              <w:rPr>
                <w:rFonts w:ascii="Aptos" w:hAnsi="Aptos"/>
                <w:b w:val="0"/>
                <w:sz w:val="18"/>
              </w:rPr>
              <w:t>Romans 10:17</w:t>
            </w:r>
          </w:p>
        </w:tc>
        <w:tc>
          <w:tcPr>
            <w:tcW w:type="dxa" w:w="3552"/>
            <w:vAlign w:val="top"/>
          </w:tcPr>
          <w:p>
            <w:pPr>
              <w:jc w:val="left"/>
            </w:pPr>
            <w:r>
              <w:rPr>
                <w:rFonts w:ascii="Aptos" w:hAnsi="Aptos"/>
                <w:b w:val="0"/>
                <w:sz w:val="18"/>
              </w:rPr>
              <w:t>How does Scripture strengthen trust when emotions are unsteady?</w:t>
            </w:r>
          </w:p>
        </w:tc>
      </w:tr>
      <w:tr>
        <w:tc>
          <w:tcPr>
            <w:tcW w:type="dxa" w:w="3552"/>
            <w:vAlign w:val="top"/>
          </w:tcPr>
          <w:p>
            <w:pPr>
              <w:jc w:val="left"/>
            </w:pPr>
            <w:r>
              <w:rPr>
                <w:rFonts w:ascii="Aptos" w:hAnsi="Aptos"/>
                <w:b w:val="0"/>
                <w:sz w:val="18"/>
              </w:rPr>
              <w:t>The Spirit</w:t>
            </w:r>
          </w:p>
        </w:tc>
        <w:tc>
          <w:tcPr>
            <w:tcW w:type="dxa" w:w="3552"/>
            <w:vAlign w:val="top"/>
          </w:tcPr>
          <w:p>
            <w:pPr>
              <w:jc w:val="left"/>
            </w:pPr>
            <w:r>
              <w:rPr>
                <w:rFonts w:ascii="Aptos" w:hAnsi="Aptos"/>
                <w:b w:val="0"/>
                <w:sz w:val="18"/>
              </w:rPr>
              <w:t>John 16:8</w:t>
            </w:r>
          </w:p>
        </w:tc>
        <w:tc>
          <w:tcPr>
            <w:tcW w:type="dxa" w:w="3552"/>
            <w:vAlign w:val="top"/>
          </w:tcPr>
          <w:p>
            <w:pPr>
              <w:jc w:val="left"/>
            </w:pPr>
            <w:r>
              <w:rPr>
                <w:rFonts w:ascii="Aptos" w:hAnsi="Aptos"/>
                <w:b w:val="0"/>
                <w:sz w:val="18"/>
              </w:rPr>
              <w:t>What does the Spirit do that we cannot produce in ourselves?</w:t>
            </w:r>
          </w:p>
        </w:tc>
      </w:tr>
      <w:tr>
        <w:tc>
          <w:tcPr>
            <w:tcW w:type="dxa" w:w="3552"/>
            <w:vAlign w:val="top"/>
          </w:tcPr>
          <w:p>
            <w:pPr>
              <w:jc w:val="left"/>
            </w:pPr>
            <w:r>
              <w:rPr>
                <w:rFonts w:ascii="Aptos" w:hAnsi="Aptos"/>
                <w:b w:val="0"/>
                <w:sz w:val="18"/>
              </w:rPr>
              <w:t>Assurance</w:t>
            </w:r>
          </w:p>
        </w:tc>
        <w:tc>
          <w:tcPr>
            <w:tcW w:type="dxa" w:w="3552"/>
            <w:vAlign w:val="top"/>
          </w:tcPr>
          <w:p>
            <w:pPr>
              <w:jc w:val="left"/>
            </w:pPr>
            <w:r>
              <w:rPr>
                <w:rFonts w:ascii="Aptos" w:hAnsi="Aptos"/>
                <w:b w:val="0"/>
                <w:sz w:val="18"/>
              </w:rPr>
              <w:t>2 Timothy 1:12</w:t>
            </w:r>
          </w:p>
        </w:tc>
        <w:tc>
          <w:tcPr>
            <w:tcW w:type="dxa" w:w="3552"/>
            <w:vAlign w:val="top"/>
          </w:tcPr>
          <w:p>
            <w:pPr>
              <w:jc w:val="left"/>
            </w:pPr>
            <w:r>
              <w:rPr>
                <w:rFonts w:ascii="Aptos" w:hAnsi="Aptos"/>
                <w:b w:val="0"/>
                <w:sz w:val="18"/>
              </w:rPr>
              <w:t>What difference does it make to know the One who keeps us?</w:t>
            </w:r>
          </w:p>
        </w:tc>
      </w:tr>
      <w:tr>
        <w:tc>
          <w:tcPr>
            <w:tcW w:type="dxa" w:w="3552"/>
            <w:vAlign w:val="top"/>
          </w:tcPr>
          <w:p>
            <w:pPr>
              <w:jc w:val="left"/>
            </w:pPr>
            <w:r>
              <w:rPr>
                <w:rFonts w:ascii="Aptos" w:hAnsi="Aptos"/>
                <w:b w:val="0"/>
                <w:sz w:val="18"/>
              </w:rPr>
              <w:t>Final Hope</w:t>
            </w:r>
          </w:p>
        </w:tc>
        <w:tc>
          <w:tcPr>
            <w:tcW w:type="dxa" w:w="3552"/>
            <w:vAlign w:val="top"/>
          </w:tcPr>
          <w:p>
            <w:pPr>
              <w:jc w:val="left"/>
            </w:pPr>
            <w:r>
              <w:rPr>
                <w:rFonts w:ascii="Aptos" w:hAnsi="Aptos"/>
                <w:b w:val="0"/>
                <w:sz w:val="18"/>
              </w:rPr>
              <w:t>Jude 24-25</w:t>
            </w:r>
          </w:p>
        </w:tc>
        <w:tc>
          <w:tcPr>
            <w:tcW w:type="dxa" w:w="3552"/>
            <w:vAlign w:val="top"/>
          </w:tcPr>
          <w:p>
            <w:pPr>
              <w:jc w:val="left"/>
            </w:pPr>
            <w:r>
              <w:rPr>
                <w:rFonts w:ascii="Aptos" w:hAnsi="Aptos"/>
                <w:b w:val="0"/>
                <w:sz w:val="18"/>
              </w:rPr>
              <w:t>How does future hope shape today’s endurance?</w:t>
            </w:r>
          </w:p>
        </w:tc>
      </w:tr>
    </w:tbl>
    <w:p>
      <w:pPr>
        <w:pStyle w:val="Heading2"/>
      </w:pPr>
      <w:r>
        <w:rPr>
          <w:rFonts w:ascii="Aptos Display" w:hAnsi="Aptos Display"/>
          <w:color w:val="8B3E18"/>
        </w:rPr>
        <w:t>Discussion Questions</w:t>
      </w:r>
    </w:p>
    <w:p>
      <w:pPr>
        <w:pStyle w:val="ListBullet"/>
        <w:spacing w:after="40"/>
      </w:pPr>
      <w:r>
        <w:rPr>
          <w:rFonts w:ascii="Aptos" w:hAnsi="Aptos"/>
          <w:sz w:val="20"/>
        </w:rPr>
        <w:t>What mysteries does the hymn name without trying to solve completely?</w:t>
      </w:r>
    </w:p>
    <w:p>
      <w:pPr>
        <w:pStyle w:val="ListBullet"/>
        <w:spacing w:after="40"/>
      </w:pPr>
      <w:r>
        <w:rPr>
          <w:rFonts w:ascii="Aptos" w:hAnsi="Aptos"/>
          <w:sz w:val="20"/>
        </w:rPr>
        <w:t>Why is knowing Christ more central than mastering every explanation of salvation?</w:t>
      </w:r>
    </w:p>
    <w:p>
      <w:pPr>
        <w:pStyle w:val="ListBullet"/>
        <w:spacing w:after="40"/>
      </w:pPr>
      <w:r>
        <w:rPr>
          <w:rFonts w:ascii="Aptos" w:hAnsi="Aptos"/>
          <w:sz w:val="20"/>
        </w:rPr>
        <w:t>How does 2 Timothy 1:12 speak to believers who feel weak, ashamed, or uncertain?</w:t>
      </w:r>
    </w:p>
    <w:p>
      <w:pPr>
        <w:pStyle w:val="ListBullet"/>
        <w:spacing w:after="40"/>
      </w:pPr>
      <w:r>
        <w:rPr>
          <w:rFonts w:ascii="Aptos" w:hAnsi="Aptos"/>
          <w:sz w:val="20"/>
        </w:rPr>
        <w:t>What is the difference between biblical assurance and self-confidence?</w:t>
      </w:r>
    </w:p>
    <w:p>
      <w:pPr>
        <w:pStyle w:val="ListBullet"/>
        <w:spacing w:after="40"/>
      </w:pPr>
      <w:r>
        <w:rPr>
          <w:rFonts w:ascii="Aptos" w:hAnsi="Aptos"/>
          <w:sz w:val="20"/>
        </w:rPr>
        <w:t>How do grace, faith, Scripture, and the Spirit belong together?</w:t>
      </w:r>
    </w:p>
    <w:p>
      <w:pPr>
        <w:pStyle w:val="ListBullet"/>
        <w:spacing w:after="40"/>
      </w:pPr>
      <w:r>
        <w:rPr>
          <w:rFonts w:ascii="Aptos" w:hAnsi="Aptos"/>
          <w:sz w:val="20"/>
        </w:rPr>
        <w:t>Where do you need to entrust yourself more deliberately to Christ this week?</w:t>
      </w:r>
    </w:p>
    <w:p>
      <w:pPr>
        <w:pStyle w:val="ListBullet"/>
        <w:spacing w:after="40"/>
      </w:pPr>
      <w:r>
        <w:rPr>
          <w:rFonts w:ascii="Aptos" w:hAnsi="Aptos"/>
          <w:sz w:val="20"/>
        </w:rPr>
        <w:t>How can a church help doubting believers without shaming honest questions?</w:t>
      </w:r>
    </w:p>
    <w:p>
      <w:pPr>
        <w:pStyle w:val="Heading2"/>
      </w:pPr>
      <w:r>
        <w:rPr>
          <w:rFonts w:ascii="Aptos Display" w:hAnsi="Aptos Display"/>
          <w:color w:val="8B3E18"/>
        </w:rPr>
        <w:t>Practice This Week</w:t>
      </w:r>
    </w:p>
    <w:p>
      <w:pPr>
        <w:pStyle w:val="ListBullet"/>
        <w:spacing w:after="40"/>
      </w:pPr>
      <w:r>
        <w:rPr>
          <w:rFonts w:ascii="Aptos" w:hAnsi="Aptos"/>
          <w:sz w:val="20"/>
        </w:rPr>
        <w:t>Pray 2 Timothy 1:12 each morning, naming one concern you are entrusting to Christ.</w:t>
      </w:r>
    </w:p>
    <w:p>
      <w:pPr>
        <w:pStyle w:val="ListBullet"/>
        <w:spacing w:after="40"/>
      </w:pPr>
      <w:r>
        <w:rPr>
          <w:rFonts w:ascii="Aptos" w:hAnsi="Aptos"/>
          <w:sz w:val="20"/>
        </w:rPr>
        <w:t>Read Romans 8:31-39 slowly and underline every phrase that speaks of God’s keeping love.</w:t>
      </w:r>
    </w:p>
    <w:p>
      <w:pPr>
        <w:pStyle w:val="ListBullet"/>
        <w:spacing w:after="40"/>
      </w:pPr>
      <w:r>
        <w:rPr>
          <w:rFonts w:ascii="Aptos" w:hAnsi="Aptos"/>
          <w:sz w:val="20"/>
        </w:rPr>
        <w:t>Encourage one person who is carrying uncertainty with a Scripture promise rather than a quick slogan.</w:t>
      </w:r>
    </w:p>
    <w:p>
      <w:pPr>
        <w:pStyle w:val="ListBullet"/>
        <w:spacing w:after="40"/>
      </w:pPr>
      <w:r>
        <w:rPr>
          <w:rFonts w:ascii="Aptos" w:hAnsi="Aptos"/>
          <w:sz w:val="20"/>
        </w:rPr>
        <w:t>Write a short testimony beginning, “I do not understand everything, but I know Christ is faithful because...”</w:t>
      </w:r>
    </w:p>
    <w:p>
      <w:pPr>
        <w:pStyle w:val="Heading2"/>
      </w:pPr>
      <w:r>
        <w:rPr>
          <w:rFonts w:ascii="Aptos Display" w:hAnsi="Aptos Display"/>
          <w:color w:val="8B3E18"/>
        </w:rPr>
        <w:t>Optional Leader Notes</w:t>
      </w:r>
    </w:p>
    <w:p>
      <w:pPr>
        <w:pStyle w:val="ListBullet"/>
        <w:spacing w:after="40"/>
      </w:pPr>
      <w:r>
        <w:rPr>
          <w:rFonts w:ascii="Aptos" w:hAnsi="Aptos"/>
          <w:sz w:val="20"/>
        </w:rPr>
        <w:t>Let people admit questions. The hymn itself makes room for humble uncertainty.</w:t>
      </w:r>
    </w:p>
    <w:p>
      <w:pPr>
        <w:pStyle w:val="ListBullet"/>
        <w:spacing w:after="40"/>
      </w:pPr>
      <w:r>
        <w:rPr>
          <w:rFonts w:ascii="Aptos" w:hAnsi="Aptos"/>
          <w:sz w:val="20"/>
        </w:rPr>
        <w:t>Keep the group centered on Christ, not on abstract speculation about assurance.</w:t>
      </w:r>
    </w:p>
    <w:p>
      <w:pPr>
        <w:pStyle w:val="ListBullet"/>
        <w:spacing w:after="40"/>
      </w:pPr>
      <w:r>
        <w:rPr>
          <w:rFonts w:ascii="Aptos" w:hAnsi="Aptos"/>
          <w:sz w:val="20"/>
        </w:rPr>
        <w:t>Clarify that assurance rests in Christ’s character and promise, not in the strength of our feelings.</w:t>
      </w:r>
    </w:p>
    <w:p>
      <w:pPr>
        <w:pStyle w:val="Heading2"/>
      </w:pPr>
      <w:r>
        <w:rPr>
          <w:rFonts w:ascii="Aptos Display" w:hAnsi="Aptos Display"/>
          <w:color w:val="8B3E18"/>
        </w:rPr>
        <w:t>Closing Prayer</w:t>
      </w:r>
    </w:p>
    <w:p>
      <w:r>
        <w:t>Lord Jesus Christ, we do not understand all the mysteries of grace, faith, suffering, and the future. Yet we know You are faithful. Teach us to trust Your Word, receive Your grace, and rest in Your keeping power until that day when faith becomes sight. Amen.</w:t>
      </w:r>
    </w:p>
    <w:p>
      <w:pPr>
        <w:jc w:val="center"/>
      </w:pPr>
      <w:r>
        <w:rPr>
          <w:color w:val="666666"/>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792" w:left="792"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17324D"/>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8B3E1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8B3E1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rPr>
      <w:rFonts w:ascii="Aptos" w:hAnsi="Aptos"/>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Know Not Why God's Wondrous Grace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