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373027"/>
          <w:sz w:val="44"/>
        </w:rPr>
        <w:t>O Happy Home</w:t>
      </w:r>
    </w:p>
    <w:p>
      <w:pPr>
        <w:jc w:val="center"/>
      </w:pPr>
      <w:r>
        <w:rPr>
          <w:rFonts w:ascii="Arial" w:hAnsi="Arial"/>
          <w:i/>
          <w:color w:val="875B2D"/>
          <w:sz w:val="22"/>
        </w:rPr>
        <w:t>Small Group Handout</w:t>
      </w:r>
    </w:p>
    <w:p>
      <w:pPr>
        <w:jc w:val="center"/>
      </w:pPr>
      <w:r>
        <w:rPr>
          <w:rFonts w:ascii="Arial" w:hAnsi="Arial"/>
          <w:sz w:val="20"/>
        </w:rPr>
        <w:t>Purpose: To consider how Christ’s presence shapes the home, daily work, sorrow, joy, and hope.</w:t>
      </w:r>
    </w:p>
    <w:p>
      <w:pPr>
        <w:jc w:val="center"/>
      </w:pPr>
      <w:r>
        <w:drawing>
          <wp:inline xmlns:a="http://schemas.openxmlformats.org/drawingml/2006/main" xmlns:pic="http://schemas.openxmlformats.org/drawingml/2006/picture">
            <wp:extent cx="5303520" cy="2983230"/>
            <wp:docPr id="1" name="Picture 1"/>
            <wp:cNvGraphicFramePr>
              <a:graphicFrameLocks noChangeAspect="1"/>
            </wp:cNvGraphicFramePr>
            <a:graphic>
              <a:graphicData uri="http://schemas.openxmlformats.org/drawingml/2006/picture">
                <pic:pic>
                  <pic:nvPicPr>
                    <pic:cNvPr id="0" name="O Happy Home Teaching Graphic.png"/>
                    <pic:cNvPicPr/>
                  </pic:nvPicPr>
                  <pic:blipFill>
                    <a:blip r:embed="rId10"/>
                    <a:stretch>
                      <a:fillRect/>
                    </a:stretch>
                  </pic:blipFill>
                  <pic:spPr>
                    <a:xfrm>
                      <a:off x="0" y="0"/>
                      <a:ext cx="5303520" cy="2983230"/>
                    </a:xfrm>
                    <a:prstGeom prst="rect"/>
                  </pic:spPr>
                </pic:pic>
              </a:graphicData>
            </a:graphic>
          </wp:inline>
        </w:drawing>
      </w:r>
    </w:p>
    <w:p>
      <w:pPr>
        <w:pStyle w:val="Heading1"/>
      </w:pPr>
      <w:r>
        <w:t>Opening Reflection</w:t>
      </w:r>
    </w:p>
    <w:p>
      <w:pPr>
        <w:pStyle w:val="ListBullet"/>
        <w:spacing w:after="40"/>
      </w:pPr>
      <w:r>
        <w:t>What makes a home truly “happy” in a Christian sense?</w:t>
      </w:r>
    </w:p>
    <w:p>
      <w:pPr>
        <w:pStyle w:val="ListBullet"/>
        <w:spacing w:after="40"/>
      </w:pPr>
      <w:r>
        <w:t>Where do you most need Christ’s presence in your household, work, or relationships this week?</w:t>
      </w:r>
    </w:p>
    <w:p>
      <w:pPr>
        <w:pStyle w:val="ListBullet"/>
        <w:spacing w:after="40"/>
      </w:pPr>
      <w:r>
        <w:t>How can an ordinary room, table, or task become a place of discipleship?</w:t>
      </w:r>
    </w:p>
    <w:p>
      <w:pPr>
        <w:pStyle w:val="Heading1"/>
      </w:pPr>
      <w:r>
        <w:t>Brief Hymn Background</w:t>
      </w:r>
    </w:p>
    <w:p>
      <w:r>
        <w:t>The German text was written by Karl Johann Philipp Spitta and published in his Psalter und Harfe in 1833. Its German title is O selig Haus, wo man dich aufgenommen, usually rendered in English as O Happy Home or O Happy House.</w:t>
        <w:br/>
        <w:br/>
        <w:t>The English translation was made by Sarah Borthwick Findlater and appeared in the third series of Hymns from the Land of Luther in 1858. Jane Laurie Borthwick, Sarah's sister, was closely associated with the larger translation project, but the translation of this hymn is normally credited to Sarah Borthwick Findlater.</w:t>
        <w:br/>
        <w:br/>
        <w:t>The hymn has been printed with several tunes. Some modern resources use WELWYN by Alfred Scott-Gatty; other hymnals use COMMUNION, ALVERSTOKE, VESALIUS, WINDSOR, HAPPY HOME, or other melodies. Therefore the composer should not be identified as Heinrich Christoph Zeuner unless a specific hymnal source is intentionally using a Zeuner tune.</w:t>
      </w:r>
    </w:p>
    <w:p>
      <w:r>
        <w:t>Data Note: The source data says this hymn has several tune traditions rather than one universal melody. It warns against identifying Heinrich Christoph Zeuner and MISSIONARY CHANT as the normal general pairing unless a specific hymnal source does so.</w:t>
      </w:r>
    </w:p>
    <w:p>
      <w:pPr>
        <w:pStyle w:val="Heading1"/>
      </w:pPr>
      <w:r>
        <w:t>Verified Hymn Facts from the Source Data</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F4E9D8"/>
          </w:tcPr>
          <w:p>
            <w:r/>
            <w:r>
              <w:rPr>
                <w:rFonts w:ascii="Arial" w:hAnsi="Arial"/>
                <w:b/>
                <w:sz w:val="18"/>
              </w:rPr>
              <w:t>Title</w:t>
            </w:r>
          </w:p>
        </w:tc>
        <w:tc>
          <w:tcPr>
            <w:tcW w:type="dxa" w:w="5184"/>
            <w:vAlign w:val="top"/>
          </w:tcPr>
          <w:p>
            <w:r/>
            <w:r>
              <w:rPr>
                <w:rFonts w:ascii="Arial" w:hAnsi="Arial"/>
                <w:b w:val="0"/>
                <w:sz w:val="18"/>
              </w:rPr>
              <w:t>O Happy Home</w:t>
            </w:r>
          </w:p>
        </w:tc>
      </w:tr>
      <w:tr>
        <w:tc>
          <w:tcPr>
            <w:tcW w:type="dxa" w:w="5184"/>
            <w:vAlign w:val="top"/>
            <w:shd w:fill="F4E9D8"/>
          </w:tcPr>
          <w:p>
            <w:r/>
            <w:r>
              <w:rPr>
                <w:rFonts w:ascii="Arial" w:hAnsi="Arial"/>
                <w:b/>
                <w:sz w:val="18"/>
              </w:rPr>
              <w:t>First line</w:t>
            </w:r>
          </w:p>
        </w:tc>
        <w:tc>
          <w:tcPr>
            <w:tcW w:type="dxa" w:w="5184"/>
            <w:vAlign w:val="top"/>
          </w:tcPr>
          <w:p>
            <w:r/>
            <w:r>
              <w:rPr>
                <w:rFonts w:ascii="Arial" w:hAnsi="Arial"/>
                <w:b w:val="0"/>
                <w:sz w:val="18"/>
              </w:rPr>
              <w:t>O happy home where thou art loved the dearest</w:t>
            </w:r>
          </w:p>
        </w:tc>
      </w:tr>
      <w:tr>
        <w:tc>
          <w:tcPr>
            <w:tcW w:type="dxa" w:w="5184"/>
            <w:vAlign w:val="top"/>
            <w:shd w:fill="F4E9D8"/>
          </w:tcPr>
          <w:p>
            <w:r/>
            <w:r>
              <w:rPr>
                <w:rFonts w:ascii="Arial" w:hAnsi="Arial"/>
                <w:b/>
                <w:sz w:val="18"/>
              </w:rPr>
              <w:t>German text</w:t>
            </w:r>
          </w:p>
        </w:tc>
        <w:tc>
          <w:tcPr>
            <w:tcW w:type="dxa" w:w="5184"/>
            <w:vAlign w:val="top"/>
          </w:tcPr>
          <w:p>
            <w:r/>
            <w:r>
              <w:rPr>
                <w:rFonts w:ascii="Arial" w:hAnsi="Arial"/>
                <w:b w:val="0"/>
                <w:sz w:val="18"/>
              </w:rPr>
              <w:t>O selig Haus, wo man dich aufgenommen</w:t>
            </w:r>
          </w:p>
        </w:tc>
      </w:tr>
      <w:tr>
        <w:tc>
          <w:tcPr>
            <w:tcW w:type="dxa" w:w="5184"/>
            <w:vAlign w:val="top"/>
            <w:shd w:fill="F4E9D8"/>
          </w:tcPr>
          <w:p>
            <w:r/>
            <w:r>
              <w:rPr>
                <w:rFonts w:ascii="Arial" w:hAnsi="Arial"/>
                <w:b/>
                <w:sz w:val="18"/>
              </w:rPr>
              <w:t>Lyricist</w:t>
            </w:r>
          </w:p>
        </w:tc>
        <w:tc>
          <w:tcPr>
            <w:tcW w:type="dxa" w:w="5184"/>
            <w:vAlign w:val="top"/>
          </w:tcPr>
          <w:p>
            <w:r/>
            <w:r>
              <w:rPr>
                <w:rFonts w:ascii="Arial" w:hAnsi="Arial"/>
                <w:b w:val="0"/>
                <w:sz w:val="18"/>
              </w:rPr>
              <w:t>Karl Johann Philipp Spitta</w:t>
            </w:r>
          </w:p>
        </w:tc>
      </w:tr>
      <w:tr>
        <w:tc>
          <w:tcPr>
            <w:tcW w:type="dxa" w:w="5184"/>
            <w:vAlign w:val="top"/>
            <w:shd w:fill="F4E9D8"/>
          </w:tcPr>
          <w:p>
            <w:r/>
            <w:r>
              <w:rPr>
                <w:rFonts w:ascii="Arial" w:hAnsi="Arial"/>
                <w:b/>
                <w:sz w:val="18"/>
              </w:rPr>
              <w:t>English translator</w:t>
            </w:r>
          </w:p>
        </w:tc>
        <w:tc>
          <w:tcPr>
            <w:tcW w:type="dxa" w:w="5184"/>
            <w:vAlign w:val="top"/>
          </w:tcPr>
          <w:p>
            <w:r/>
            <w:r>
              <w:rPr>
                <w:rFonts w:ascii="Arial" w:hAnsi="Arial"/>
                <w:b w:val="0"/>
                <w:sz w:val="18"/>
              </w:rPr>
              <w:t>Sarah Borthwick Findlater</w:t>
            </w:r>
          </w:p>
        </w:tc>
      </w:tr>
      <w:tr>
        <w:tc>
          <w:tcPr>
            <w:tcW w:type="dxa" w:w="5184"/>
            <w:vAlign w:val="top"/>
            <w:shd w:fill="F4E9D8"/>
          </w:tcPr>
          <w:p>
            <w:r/>
            <w:r>
              <w:rPr>
                <w:rFonts w:ascii="Arial" w:hAnsi="Arial"/>
                <w:b/>
                <w:sz w:val="18"/>
              </w:rPr>
              <w:t>Year written</w:t>
            </w:r>
          </w:p>
        </w:tc>
        <w:tc>
          <w:tcPr>
            <w:tcW w:type="dxa" w:w="5184"/>
            <w:vAlign w:val="top"/>
          </w:tcPr>
          <w:p>
            <w:r/>
            <w:r>
              <w:rPr>
                <w:rFonts w:ascii="Arial" w:hAnsi="Arial"/>
                <w:b w:val="0"/>
                <w:sz w:val="18"/>
              </w:rPr>
              <w:t>1833</w:t>
            </w:r>
          </w:p>
        </w:tc>
      </w:tr>
      <w:tr>
        <w:tc>
          <w:tcPr>
            <w:tcW w:type="dxa" w:w="5184"/>
            <w:vAlign w:val="top"/>
            <w:shd w:fill="F4E9D8"/>
          </w:tcPr>
          <w:p>
            <w:r/>
            <w:r>
              <w:rPr>
                <w:rFonts w:ascii="Arial" w:hAnsi="Arial"/>
                <w:b/>
                <w:sz w:val="18"/>
              </w:rPr>
              <w:t>English translation</w:t>
            </w:r>
          </w:p>
        </w:tc>
        <w:tc>
          <w:tcPr>
            <w:tcW w:type="dxa" w:w="5184"/>
            <w:vAlign w:val="top"/>
          </w:tcPr>
          <w:p>
            <w:r/>
            <w:r>
              <w:rPr>
                <w:rFonts w:ascii="Arial" w:hAnsi="Arial"/>
                <w:b w:val="0"/>
                <w:sz w:val="18"/>
              </w:rPr>
              <w:t>Hymns from the Land of Luther, Third Series, 1858</w:t>
            </w:r>
          </w:p>
        </w:tc>
      </w:tr>
      <w:tr>
        <w:tc>
          <w:tcPr>
            <w:tcW w:type="dxa" w:w="5184"/>
            <w:vAlign w:val="top"/>
            <w:shd w:fill="F4E9D8"/>
          </w:tcPr>
          <w:p>
            <w:r/>
            <w:r>
              <w:rPr>
                <w:rFonts w:ascii="Arial" w:hAnsi="Arial"/>
                <w:b/>
                <w:sz w:val="18"/>
              </w:rPr>
              <w:t>Tune / composer</w:t>
            </w:r>
          </w:p>
        </w:tc>
        <w:tc>
          <w:tcPr>
            <w:tcW w:type="dxa" w:w="5184"/>
            <w:vAlign w:val="top"/>
          </w:tcPr>
          <w:p>
            <w:r/>
            <w:r>
              <w:rPr>
                <w:rFonts w:ascii="Arial" w:hAnsi="Arial"/>
                <w:b w:val="0"/>
                <w:sz w:val="18"/>
              </w:rPr>
              <w:t>Multiple Tune Traditions</w:t>
            </w:r>
          </w:p>
        </w:tc>
      </w:tr>
      <w:tr>
        <w:tc>
          <w:tcPr>
            <w:tcW w:type="dxa" w:w="5184"/>
            <w:vAlign w:val="top"/>
            <w:shd w:fill="F4E9D8"/>
          </w:tcPr>
          <w:p>
            <w:r/>
            <w:r>
              <w:rPr>
                <w:rFonts w:ascii="Arial" w:hAnsi="Arial"/>
                <w:b/>
                <w:sz w:val="18"/>
              </w:rPr>
              <w:t>Meter</w:t>
            </w:r>
          </w:p>
        </w:tc>
        <w:tc>
          <w:tcPr>
            <w:tcW w:type="dxa" w:w="5184"/>
            <w:vAlign w:val="top"/>
          </w:tcPr>
          <w:p>
            <w:r/>
            <w:r>
              <w:rPr>
                <w:rFonts w:ascii="Arial" w:hAnsi="Arial"/>
                <w:b w:val="0"/>
                <w:sz w:val="18"/>
              </w:rPr>
              <w:t>11.10.11.10</w:t>
            </w:r>
          </w:p>
        </w:tc>
      </w:tr>
      <w:tr>
        <w:tc>
          <w:tcPr>
            <w:tcW w:type="dxa" w:w="5184"/>
            <w:vAlign w:val="top"/>
            <w:shd w:fill="F4E9D8"/>
          </w:tcPr>
          <w:p>
            <w:r/>
            <w:r>
              <w:rPr>
                <w:rFonts w:ascii="Arial" w:hAnsi="Arial"/>
                <w:b/>
                <w:sz w:val="18"/>
              </w:rPr>
              <w:t>Primary Scripture</w:t>
            </w:r>
          </w:p>
        </w:tc>
        <w:tc>
          <w:tcPr>
            <w:tcW w:type="dxa" w:w="5184"/>
            <w:vAlign w:val="top"/>
          </w:tcPr>
          <w:p>
            <w:r/>
            <w:r>
              <w:rPr>
                <w:rFonts w:ascii="Arial" w:hAnsi="Arial"/>
                <w:b w:val="0"/>
                <w:sz w:val="18"/>
              </w:rPr>
              <w:t>Luke 24:29</w:t>
            </w:r>
          </w:p>
        </w:tc>
      </w:tr>
    </w:tbl>
    <w:p>
      <w:pPr>
        <w:pStyle w:val="Heading1"/>
      </w:pPr>
      <w:r>
        <w:t>Scripture Foundation</w:t>
      </w:r>
    </w:p>
    <w:p>
      <w:r>
        <w:t>Primary: Luke 24:29 - the disciples urge the risen Christ to stay with them. The hymn views the happy home as one where Christ is welcomed and honored.</w:t>
      </w:r>
    </w:p>
    <w:p>
      <w:r>
        <w:t>Supporting passages: Genesis 18:19, Joshua 24:15, Luke 24:29, Ephesians 5:21-25, Ephesians 6:4, Colossians 3:23-24.</w:t>
      </w:r>
    </w:p>
    <w:p>
      <w:pPr>
        <w:pStyle w:val="Heading1"/>
      </w:pPr>
      <w:r>
        <w:t>Stanza-by-Stanza Study</w:t>
      </w:r>
    </w:p>
    <w:p>
      <w:r>
        <w:rPr>
          <w:b/>
        </w:rPr>
        <w:t xml:space="preserve">Verse 1: </w:t>
      </w:r>
      <w:r>
        <w:t>The first stanza describes the home where Christ is loved above all and welcomed as the highest guest.</w:t>
      </w:r>
    </w:p>
    <w:p>
      <w:r>
        <w:rPr>
          <w:b/>
        </w:rPr>
        <w:t xml:space="preserve">Verse 2: </w:t>
      </w:r>
      <w:r>
        <w:t>The second stanza blesses marriage as a union of heart, faith, and hope that death may interrupt but cannot finally destroy.</w:t>
      </w:r>
    </w:p>
    <w:p>
      <w:r>
        <w:rPr>
          <w:b/>
        </w:rPr>
        <w:t xml:space="preserve">Verse 3: </w:t>
      </w:r>
      <w:r>
        <w:t>The third stanza gives children to Christ in humble faith and prayer, trusting his care more than even parental strength.</w:t>
      </w:r>
    </w:p>
    <w:p>
      <w:r>
        <w:rPr>
          <w:b/>
        </w:rPr>
        <w:t xml:space="preserve">Verse 4: </w:t>
      </w:r>
      <w:r>
        <w:t>The fourth stanza consecrates ordinary work, teaching that common tasks become holy when performed unto the Lord.</w:t>
      </w:r>
    </w:p>
    <w:p>
      <w:r>
        <w:rPr>
          <w:b/>
        </w:rPr>
        <w:t xml:space="preserve">Verse 5: </w:t>
      </w:r>
      <w:r>
        <w:t>The fifth stanza brings both overflowing joy and wounded spirits to Christ, the Physician and Comforter.</w:t>
      </w:r>
    </w:p>
    <w:p>
      <w:r>
        <w:rPr>
          <w:b/>
        </w:rPr>
        <w:t xml:space="preserve">Verse 6: </w:t>
      </w:r>
      <w:r>
        <w:t>The final stanza turns from the earthly household to the blessed home above, where Christ's peace and love are everlasting.</w:t>
      </w:r>
    </w:p>
    <w:p>
      <w:pPr>
        <w:pStyle w:val="Heading1"/>
      </w:pPr>
      <w:r>
        <w:t>Hymn Theme, Scripture, and Discussion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EBDCC7"/>
          </w:tcPr>
          <w:p>
            <w:r/>
            <w:r>
              <w:rPr>
                <w:rFonts w:ascii="Arial" w:hAnsi="Arial"/>
                <w:b/>
                <w:sz w:val="18"/>
              </w:rPr>
              <w:t>Hymn theme</w:t>
            </w:r>
          </w:p>
        </w:tc>
        <w:tc>
          <w:tcPr>
            <w:tcW w:type="dxa" w:w="3456"/>
            <w:vAlign w:val="top"/>
            <w:shd w:fill="EBDCC7"/>
          </w:tcPr>
          <w:p>
            <w:r/>
            <w:r>
              <w:rPr>
                <w:rFonts w:ascii="Arial" w:hAnsi="Arial"/>
                <w:b/>
                <w:sz w:val="18"/>
              </w:rPr>
              <w:t>Scripture connection</w:t>
            </w:r>
          </w:p>
        </w:tc>
        <w:tc>
          <w:tcPr>
            <w:tcW w:type="dxa" w:w="3456"/>
            <w:vAlign w:val="top"/>
            <w:shd w:fill="EBDCC7"/>
          </w:tcPr>
          <w:p>
            <w:r/>
            <w:r>
              <w:rPr>
                <w:rFonts w:ascii="Arial" w:hAnsi="Arial"/>
                <w:b/>
                <w:sz w:val="18"/>
              </w:rPr>
              <w:t>Discussion prompt</w:t>
            </w:r>
          </w:p>
        </w:tc>
      </w:tr>
      <w:tr>
        <w:tc>
          <w:tcPr>
            <w:tcW w:type="dxa" w:w="3456"/>
            <w:vAlign w:val="top"/>
          </w:tcPr>
          <w:p>
            <w:r/>
            <w:r>
              <w:rPr>
                <w:rFonts w:ascii="Arial" w:hAnsi="Arial"/>
                <w:b w:val="0"/>
                <w:sz w:val="18"/>
              </w:rPr>
              <w:t>Christ loved and welcomed in the home</w:t>
            </w:r>
          </w:p>
        </w:tc>
        <w:tc>
          <w:tcPr>
            <w:tcW w:type="dxa" w:w="3456"/>
            <w:vAlign w:val="top"/>
          </w:tcPr>
          <w:p>
            <w:r/>
            <w:r>
              <w:rPr>
                <w:rFonts w:ascii="Arial" w:hAnsi="Arial"/>
                <w:b w:val="0"/>
                <w:sz w:val="18"/>
              </w:rPr>
              <w:t>Luke 24:29; Joshua 24:15</w:t>
            </w:r>
          </w:p>
        </w:tc>
        <w:tc>
          <w:tcPr>
            <w:tcW w:type="dxa" w:w="3456"/>
            <w:vAlign w:val="top"/>
          </w:tcPr>
          <w:p>
            <w:r/>
            <w:r>
              <w:rPr>
                <w:rFonts w:ascii="Arial" w:hAnsi="Arial"/>
                <w:b w:val="0"/>
                <w:sz w:val="18"/>
              </w:rPr>
              <w:t>What habits help us welcome Christ rather than merely mention Him?</w:t>
            </w:r>
          </w:p>
        </w:tc>
      </w:tr>
      <w:tr>
        <w:tc>
          <w:tcPr>
            <w:tcW w:type="dxa" w:w="3456"/>
            <w:vAlign w:val="top"/>
          </w:tcPr>
          <w:p>
            <w:r/>
            <w:r>
              <w:rPr>
                <w:rFonts w:ascii="Arial" w:hAnsi="Arial"/>
                <w:b w:val="0"/>
                <w:sz w:val="18"/>
              </w:rPr>
              <w:t>Marriage and shared hope</w:t>
            </w:r>
          </w:p>
        </w:tc>
        <w:tc>
          <w:tcPr>
            <w:tcW w:type="dxa" w:w="3456"/>
            <w:vAlign w:val="top"/>
          </w:tcPr>
          <w:p>
            <w:r/>
            <w:r>
              <w:rPr>
                <w:rFonts w:ascii="Arial" w:hAnsi="Arial"/>
                <w:b w:val="0"/>
                <w:sz w:val="18"/>
              </w:rPr>
              <w:t>Ephesians 5:21-25</w:t>
            </w:r>
          </w:p>
        </w:tc>
        <w:tc>
          <w:tcPr>
            <w:tcW w:type="dxa" w:w="3456"/>
            <w:vAlign w:val="top"/>
          </w:tcPr>
          <w:p>
            <w:r/>
            <w:r>
              <w:rPr>
                <w:rFonts w:ascii="Arial" w:hAnsi="Arial"/>
                <w:b w:val="0"/>
                <w:sz w:val="18"/>
              </w:rPr>
              <w:t>How does mutual reverence for Christ change family relationships?</w:t>
            </w:r>
          </w:p>
        </w:tc>
      </w:tr>
      <w:tr>
        <w:tc>
          <w:tcPr>
            <w:tcW w:type="dxa" w:w="3456"/>
            <w:vAlign w:val="top"/>
          </w:tcPr>
          <w:p>
            <w:r/>
            <w:r>
              <w:rPr>
                <w:rFonts w:ascii="Arial" w:hAnsi="Arial"/>
                <w:b w:val="0"/>
                <w:sz w:val="18"/>
              </w:rPr>
              <w:t>Children given to Christ</w:t>
            </w:r>
          </w:p>
        </w:tc>
        <w:tc>
          <w:tcPr>
            <w:tcW w:type="dxa" w:w="3456"/>
            <w:vAlign w:val="top"/>
          </w:tcPr>
          <w:p>
            <w:r/>
            <w:r>
              <w:rPr>
                <w:rFonts w:ascii="Arial" w:hAnsi="Arial"/>
                <w:b w:val="0"/>
                <w:sz w:val="18"/>
              </w:rPr>
              <w:t>Ephesians 6:4</w:t>
            </w:r>
          </w:p>
        </w:tc>
        <w:tc>
          <w:tcPr>
            <w:tcW w:type="dxa" w:w="3456"/>
            <w:vAlign w:val="top"/>
          </w:tcPr>
          <w:p>
            <w:r/>
            <w:r>
              <w:rPr>
                <w:rFonts w:ascii="Arial" w:hAnsi="Arial"/>
                <w:b w:val="0"/>
                <w:sz w:val="18"/>
              </w:rPr>
              <w:t>What does faithful nurture look like without fear or control?</w:t>
            </w:r>
          </w:p>
        </w:tc>
      </w:tr>
      <w:tr>
        <w:tc>
          <w:tcPr>
            <w:tcW w:type="dxa" w:w="3456"/>
            <w:vAlign w:val="top"/>
          </w:tcPr>
          <w:p>
            <w:r/>
            <w:r>
              <w:rPr>
                <w:rFonts w:ascii="Arial" w:hAnsi="Arial"/>
                <w:b w:val="0"/>
                <w:sz w:val="18"/>
              </w:rPr>
              <w:t>Common work made holy</w:t>
            </w:r>
          </w:p>
        </w:tc>
        <w:tc>
          <w:tcPr>
            <w:tcW w:type="dxa" w:w="3456"/>
            <w:vAlign w:val="top"/>
          </w:tcPr>
          <w:p>
            <w:r/>
            <w:r>
              <w:rPr>
                <w:rFonts w:ascii="Arial" w:hAnsi="Arial"/>
                <w:b w:val="0"/>
                <w:sz w:val="18"/>
              </w:rPr>
              <w:t>Colossians 3:23-24</w:t>
            </w:r>
          </w:p>
        </w:tc>
        <w:tc>
          <w:tcPr>
            <w:tcW w:type="dxa" w:w="3456"/>
            <w:vAlign w:val="top"/>
          </w:tcPr>
          <w:p>
            <w:r/>
            <w:r>
              <w:rPr>
                <w:rFonts w:ascii="Arial" w:hAnsi="Arial"/>
                <w:b w:val="0"/>
                <w:sz w:val="18"/>
              </w:rPr>
              <w:t>Which ordinary task can you consciously do “unto the Lord”?</w:t>
            </w:r>
          </w:p>
        </w:tc>
      </w:tr>
      <w:tr>
        <w:tc>
          <w:tcPr>
            <w:tcW w:type="dxa" w:w="3456"/>
            <w:vAlign w:val="top"/>
          </w:tcPr>
          <w:p>
            <w:r/>
            <w:r>
              <w:rPr>
                <w:rFonts w:ascii="Arial" w:hAnsi="Arial"/>
                <w:b w:val="0"/>
                <w:sz w:val="18"/>
              </w:rPr>
              <w:t>Wounded spirits brought to Christ</w:t>
            </w:r>
          </w:p>
        </w:tc>
        <w:tc>
          <w:tcPr>
            <w:tcW w:type="dxa" w:w="3456"/>
            <w:vAlign w:val="top"/>
          </w:tcPr>
          <w:p>
            <w:r/>
            <w:r>
              <w:rPr>
                <w:rFonts w:ascii="Arial" w:hAnsi="Arial"/>
                <w:b w:val="0"/>
                <w:sz w:val="18"/>
              </w:rPr>
              <w:t>Comfort theme in stanza 5</w:t>
            </w:r>
          </w:p>
        </w:tc>
        <w:tc>
          <w:tcPr>
            <w:tcW w:type="dxa" w:w="3456"/>
            <w:vAlign w:val="top"/>
          </w:tcPr>
          <w:p>
            <w:r/>
            <w:r>
              <w:rPr>
                <w:rFonts w:ascii="Arial" w:hAnsi="Arial"/>
                <w:b w:val="0"/>
                <w:sz w:val="18"/>
              </w:rPr>
              <w:t>How can a home make room for honest grief and prayer?</w:t>
            </w:r>
          </w:p>
        </w:tc>
      </w:tr>
      <w:tr>
        <w:tc>
          <w:tcPr>
            <w:tcW w:type="dxa" w:w="3456"/>
            <w:vAlign w:val="top"/>
          </w:tcPr>
          <w:p>
            <w:r/>
            <w:r>
              <w:rPr>
                <w:rFonts w:ascii="Arial" w:hAnsi="Arial"/>
                <w:b w:val="0"/>
                <w:sz w:val="18"/>
              </w:rPr>
              <w:t>Earthly home pointing to the heavenly home</w:t>
            </w:r>
          </w:p>
        </w:tc>
        <w:tc>
          <w:tcPr>
            <w:tcW w:type="dxa" w:w="3456"/>
            <w:vAlign w:val="top"/>
          </w:tcPr>
          <w:p>
            <w:r/>
            <w:r>
              <w:rPr>
                <w:rFonts w:ascii="Arial" w:hAnsi="Arial"/>
                <w:b w:val="0"/>
                <w:sz w:val="18"/>
              </w:rPr>
              <w:t>Final stanza; Christian hope</w:t>
            </w:r>
          </w:p>
        </w:tc>
        <w:tc>
          <w:tcPr>
            <w:tcW w:type="dxa" w:w="3456"/>
            <w:vAlign w:val="top"/>
          </w:tcPr>
          <w:p>
            <w:r/>
            <w:r>
              <w:rPr>
                <w:rFonts w:ascii="Arial" w:hAnsi="Arial"/>
                <w:b w:val="0"/>
                <w:sz w:val="18"/>
              </w:rPr>
              <w:t>How does future hope shape present faithfulness?</w:t>
            </w:r>
          </w:p>
        </w:tc>
      </w:tr>
    </w:tbl>
    <w:p>
      <w:pPr>
        <w:pStyle w:val="Heading1"/>
      </w:pPr>
      <w:r>
        <w:t>Discussion Questions</w:t>
      </w:r>
    </w:p>
    <w:p>
      <w:pPr>
        <w:pStyle w:val="ListNumber"/>
        <w:spacing w:after="40"/>
      </w:pPr>
      <w:r>
        <w:t>What words or images in the hymn show that Christ is central, not merely added to family life?</w:t>
      </w:r>
    </w:p>
    <w:p>
      <w:pPr>
        <w:pStyle w:val="ListNumber"/>
        <w:spacing w:after="40"/>
      </w:pPr>
      <w:r>
        <w:t>How does the hymn treat marriage, children, work, joy, and sorrow as places for discipleship?</w:t>
      </w:r>
    </w:p>
    <w:p>
      <w:pPr>
        <w:pStyle w:val="ListNumber"/>
        <w:spacing w:after="40"/>
      </w:pPr>
      <w:r>
        <w:t>Which stanza feels most immediately relevant to your own life right now? Why?</w:t>
      </w:r>
    </w:p>
    <w:p>
      <w:pPr>
        <w:pStyle w:val="ListNumber"/>
        <w:spacing w:after="40"/>
      </w:pPr>
      <w:r>
        <w:t>What does it mean for common tasks to become “great and holy”?</w:t>
      </w:r>
    </w:p>
    <w:p>
      <w:pPr>
        <w:pStyle w:val="ListNumber"/>
        <w:spacing w:after="40"/>
      </w:pPr>
      <w:r>
        <w:t>How can families and churches avoid turning this hymn into mere sentimentality?</w:t>
      </w:r>
    </w:p>
    <w:p>
      <w:pPr>
        <w:pStyle w:val="ListNumber"/>
        <w:spacing w:after="40"/>
      </w:pPr>
      <w:r>
        <w:t>How does the final stanza expand the meaning of home beyond earthly family life?</w:t>
      </w:r>
    </w:p>
    <w:p>
      <w:pPr>
        <w:pStyle w:val="ListNumber"/>
        <w:spacing w:after="40"/>
      </w:pPr>
      <w:r>
        <w:t>What is one concrete practice your household or small group can begin this week?</w:t>
      </w:r>
    </w:p>
    <w:p>
      <w:pPr>
        <w:pStyle w:val="ListNumber"/>
        <w:spacing w:after="40"/>
      </w:pPr>
      <w:r>
        <w:t>How can single adults, widows, widowers, or people from painful family situations still receive the hymn’s teaching about Christ’s abiding presence?</w:t>
      </w:r>
    </w:p>
    <w:p>
      <w:pPr>
        <w:pStyle w:val="Heading1"/>
      </w:pPr>
      <w:r>
        <w:t>Practice This Week</w:t>
      </w:r>
    </w:p>
    <w:p>
      <w:pPr>
        <w:pStyle w:val="ListBullet"/>
        <w:spacing w:after="40"/>
      </w:pPr>
      <w:r>
        <w:t>Read Luke 24:29 before a meal or family prayer.</w:t>
      </w:r>
    </w:p>
    <w:p>
      <w:pPr>
        <w:pStyle w:val="ListBullet"/>
        <w:spacing w:after="40"/>
      </w:pPr>
      <w:r>
        <w:t>Choose one ordinary task and intentionally do it as service to Christ.</w:t>
      </w:r>
    </w:p>
    <w:p>
      <w:pPr>
        <w:pStyle w:val="ListBullet"/>
        <w:spacing w:after="40"/>
      </w:pPr>
      <w:r>
        <w:t>Pray for one wounded spirit in your home, church, or circle of friends.</w:t>
      </w:r>
    </w:p>
    <w:p>
      <w:pPr>
        <w:pStyle w:val="ListBullet"/>
        <w:spacing w:after="40"/>
      </w:pPr>
      <w:r>
        <w:t>Speak one sentence of Christian hope into a family conversation.</w:t>
      </w:r>
    </w:p>
    <w:p>
      <w:pPr>
        <w:pStyle w:val="Heading1"/>
      </w:pPr>
      <w:r>
        <w:t>Optional Leader Notes</w:t>
      </w:r>
    </w:p>
    <w:p>
      <w:r>
        <w:t>Keep the discussion centered on Christ’s presence, not on idealized family images. Invite honest reflection from those whose household experiences are painful or complicated. Emphasize that the hymn points every home and every believer toward the final home of peace and love in Christ.</w:t>
      </w:r>
    </w:p>
    <w:p>
      <w:pPr>
        <w:pStyle w:val="Heading1"/>
      </w:pPr>
      <w:r>
        <w:t>Closing Prayer</w:t>
      </w:r>
    </w:p>
    <w:p>
      <w:r>
        <w:t>Lord Jesus Christ, abide with us. Make our homes, relationships, work, joys, and sorrows places where You are welcomed, loved, and obeyed. Comfort wounded spirits and teach us to serve You in ordinary tasks until we meet You in the blessed home above. Amen.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85A49"/>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73027"/>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875B2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685A4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37302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