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17920" cy="1632204"/>
            <wp:docPr id="1" name="Picture 1"/>
            <wp:cNvGraphicFramePr>
              <a:graphicFrameLocks noChangeAspect="1"/>
            </wp:cNvGraphicFramePr>
            <a:graphic>
              <a:graphicData uri="http://schemas.openxmlformats.org/drawingml/2006/picture">
                <pic:pic>
                  <pic:nvPicPr>
                    <pic:cNvPr id="0" name="Trust and Obey Image Strip.jpg"/>
                    <pic:cNvPicPr/>
                  </pic:nvPicPr>
                  <pic:blipFill>
                    <a:blip r:embed="rId10"/>
                    <a:stretch>
                      <a:fillRect/>
                    </a:stretch>
                  </pic:blipFill>
                  <pic:spPr>
                    <a:xfrm>
                      <a:off x="0" y="0"/>
                      <a:ext cx="6217920" cy="1632204"/>
                    </a:xfrm>
                    <a:prstGeom prst="rect"/>
                  </pic:spPr>
                </pic:pic>
              </a:graphicData>
            </a:graphic>
          </wp:inline>
        </w:drawing>
      </w:r>
    </w:p>
    <w:p>
      <w:pPr>
        <w:pStyle w:val="Title"/>
        <w:jc w:val="center"/>
      </w:pPr>
      <w:r>
        <w:t>Trust and Obey: Sermon Outline</w:t>
      </w:r>
    </w:p>
    <w:p>
      <w:pPr>
        <w:jc w:val="center"/>
      </w:pPr>
      <w:r>
        <w:rPr>
          <w:i/>
          <w:color w:val="7A5330"/>
          <w:sz w:val="21"/>
        </w:rPr>
        <w:t>Sermon Theme: The joy of walking with Christ is found in trusting His word and obeying His will.</w:t>
      </w:r>
    </w:p>
    <w:p>
      <w:pPr>
        <w:pStyle w:val="Heading1"/>
      </w:pPr>
      <w:r>
        <w:t>Sermon Information</w:t>
      </w:r>
    </w:p>
    <w:tbl>
      <w:tblPr>
        <w:tblStyle w:val="TableGrid"/>
        <w:tblW w:type="auto" w:w="0"/>
        <w:jc w:val="center"/>
        <w:tblLook w:firstColumn="1" w:firstRow="1" w:lastColumn="0" w:lastRow="0" w:noHBand="0" w:noVBand="1" w:val="04A0"/>
      </w:tblPr>
      <w:tblGrid>
        <w:gridCol w:w="5184"/>
        <w:gridCol w:w="5184"/>
      </w:tblGrid>
      <w:tr>
        <w:tc>
          <w:tcPr>
            <w:tcW w:type="dxa" w:w="5184"/>
            <w:shd w:fill="EFE7D8"/>
          </w:tcPr>
          <w:p>
            <w:r/>
            <w:r>
              <w:rPr>
                <w:b/>
                <w:color w:val="3D2B1F"/>
                <w:sz w:val="17"/>
              </w:rPr>
              <w:t>Field</w:t>
            </w:r>
          </w:p>
        </w:tc>
        <w:tc>
          <w:tcPr>
            <w:tcW w:type="dxa" w:w="5184"/>
            <w:shd w:fill="EFE7D8"/>
          </w:tcPr>
          <w:p>
            <w:r/>
            <w:r>
              <w:rPr>
                <w:b/>
                <w:color w:val="3D2B1F"/>
                <w:sz w:val="17"/>
              </w:rPr>
              <w:t>Content</w:t>
            </w:r>
          </w:p>
        </w:tc>
      </w:tr>
      <w:tr>
        <w:tc>
          <w:tcPr>
            <w:tcW w:type="dxa" w:w="5184"/>
          </w:tcPr>
          <w:p>
            <w:r/>
            <w:r>
              <w:rPr>
                <w:b/>
                <w:color w:val="7A5330"/>
                <w:sz w:val="16"/>
              </w:rPr>
              <w:t>Suggested sermon title</w:t>
            </w:r>
          </w:p>
        </w:tc>
        <w:tc>
          <w:tcPr>
            <w:tcW w:type="dxa" w:w="5184"/>
          </w:tcPr>
          <w:p>
            <w:r/>
            <w:r>
              <w:rPr>
                <w:b w:val="0"/>
                <w:sz w:val="16"/>
              </w:rPr>
              <w:t>No Other Way: The Joy of Trusting and Obeying</w:t>
            </w:r>
          </w:p>
        </w:tc>
      </w:tr>
      <w:tr>
        <w:tc>
          <w:tcPr>
            <w:tcW w:type="dxa" w:w="5184"/>
          </w:tcPr>
          <w:p>
            <w:r/>
            <w:r>
              <w:rPr>
                <w:b/>
                <w:color w:val="7A5330"/>
                <w:sz w:val="16"/>
              </w:rPr>
              <w:t>Main text</w:t>
            </w:r>
          </w:p>
        </w:tc>
        <w:tc>
          <w:tcPr>
            <w:tcW w:type="dxa" w:w="5184"/>
          </w:tcPr>
          <w:p>
            <w:r/>
            <w:r>
              <w:rPr>
                <w:b w:val="0"/>
                <w:sz w:val="16"/>
              </w:rPr>
              <w:t>Psalm 25:14 (the Scripture heading in the 1887 source data)</w:t>
            </w:r>
          </w:p>
        </w:tc>
      </w:tr>
      <w:tr>
        <w:tc>
          <w:tcPr>
            <w:tcW w:type="dxa" w:w="5184"/>
          </w:tcPr>
          <w:p>
            <w:r/>
            <w:r>
              <w:rPr>
                <w:b/>
                <w:color w:val="7A5330"/>
                <w:sz w:val="16"/>
              </w:rPr>
              <w:t>Supporting Scriptures</w:t>
            </w:r>
          </w:p>
        </w:tc>
        <w:tc>
          <w:tcPr>
            <w:tcW w:type="dxa" w:w="5184"/>
          </w:tcPr>
          <w:p>
            <w:r/>
            <w:r>
              <w:rPr>
                <w:b w:val="0"/>
                <w:sz w:val="16"/>
              </w:rPr>
              <w:t>Psalm 119:105, Proverbs 3:5-6, John 14:15, James 1:22, 1 Samuel 15:22</w:t>
            </w:r>
          </w:p>
        </w:tc>
      </w:tr>
      <w:tr>
        <w:tc>
          <w:tcPr>
            <w:tcW w:type="dxa" w:w="5184"/>
          </w:tcPr>
          <w:p>
            <w:r/>
            <w:r>
              <w:rPr>
                <w:b/>
                <w:color w:val="7A5330"/>
                <w:sz w:val="16"/>
              </w:rPr>
              <w:t>Hymn text</w:t>
            </w:r>
          </w:p>
        </w:tc>
        <w:tc>
          <w:tcPr>
            <w:tcW w:type="dxa" w:w="5184"/>
          </w:tcPr>
          <w:p>
            <w:r/>
            <w:r>
              <w:rPr>
                <w:b w:val="0"/>
                <w:sz w:val="16"/>
              </w:rPr>
              <w:t>Trust and Obey by John Henry Sammis; tune by Daniel Brink Towner; first published in 1887 according to the source data</w:t>
            </w:r>
          </w:p>
        </w:tc>
      </w:tr>
      <w:tr>
        <w:tc>
          <w:tcPr>
            <w:tcW w:type="dxa" w:w="5184"/>
          </w:tcPr>
          <w:p>
            <w:r/>
            <w:r>
              <w:rPr>
                <w:b/>
                <w:color w:val="7A5330"/>
                <w:sz w:val="16"/>
              </w:rPr>
              <w:t>Big idea / central proposition</w:t>
            </w:r>
          </w:p>
        </w:tc>
        <w:tc>
          <w:tcPr>
            <w:tcW w:type="dxa" w:w="5184"/>
          </w:tcPr>
          <w:p>
            <w:r/>
            <w:r>
              <w:rPr>
                <w:b w:val="0"/>
                <w:sz w:val="16"/>
              </w:rPr>
              <w:t>Christian joy is not found in self-rule, religious performance, or perfect circumstances, but in fellowship with Christ that trusts His word and obeys His will.</w:t>
            </w:r>
          </w:p>
        </w:tc>
      </w:tr>
    </w:tbl>
    <w:p>
      <w:pPr>
        <w:pStyle w:val="Heading1"/>
      </w:pPr>
      <w:r>
        <w:t>Introduction</w:t>
      </w:r>
    </w:p>
    <w:p>
      <w:r>
        <w:t>Many believers want peace with God but resist the path by which God often gives it. We ask for clarity before we trust, comfort before we obey, and joy without surrender. Trust and Obey speaks into that divided heart. It does not offer a shallow promise that obedience removes every hardship. It points us to fellowship with Christ, who walks with His people in the light of His word.</w:t>
      </w:r>
    </w:p>
    <w:p>
      <w:r>
        <w:t>Introduce the hymn briefly: the source data identifies John Henry Sammis as the lyricist, Daniel Brink Towner as composer, and Hymns New and Old (1887) as the first publication. Note that the traditional Moody/Brockton testimony story should be presented as documented hymn-story tradition rather than independently verified event detail.</w:t>
      </w:r>
    </w:p>
    <w:p>
      <w:pPr>
        <w:pStyle w:val="Heading1"/>
      </w:pPr>
      <w:r>
        <w:t>Sermon Points</w:t>
      </w:r>
    </w:p>
    <w:p>
      <w:pPr>
        <w:pStyle w:val="Heading2"/>
      </w:pPr>
      <w:r>
        <w:t>1. God calls His people to walk in the light of His word.</w:t>
      </w:r>
    </w:p>
    <w:p>
      <w:r>
        <w:rPr>
          <w:b/>
        </w:rPr>
        <w:t xml:space="preserve">Explanation: </w:t>
      </w:r>
      <w:r>
        <w:t>The hymn begins with movement: “When we walk with the Lord in the light of His word.” The Christian life is not standing still in religious memory; it is walking under the guidance of divine revelation.</w:t>
      </w:r>
    </w:p>
    <w:p>
      <w:r>
        <w:rPr>
          <w:b/>
        </w:rPr>
        <w:t xml:space="preserve">Hymn connection: </w:t>
      </w:r>
      <w:r>
        <w:t>Verse 1 connects God's light, God's will, and God's abiding presence.</w:t>
      </w:r>
    </w:p>
    <w:p>
      <w:r>
        <w:rPr>
          <w:b/>
        </w:rPr>
        <w:t xml:space="preserve">Biblical support: </w:t>
      </w:r>
      <w:r>
        <w:t>Psalm 119:105; Psalm 25:14</w:t>
      </w:r>
    </w:p>
    <w:p>
      <w:r>
        <w:rPr>
          <w:b/>
        </w:rPr>
        <w:t xml:space="preserve">Illustration idea: </w:t>
      </w:r>
      <w:r>
        <w:t>A traveler with a lamp may not see the whole road, but sees enough for the next faithful step.</w:t>
      </w:r>
    </w:p>
    <w:p>
      <w:r>
        <w:rPr>
          <w:b/>
        </w:rPr>
        <w:t xml:space="preserve">Application: </w:t>
      </w:r>
      <w:r>
        <w:t>Invite hearers to identify the specific command, promise, or warning in Scripture that God is asking them to take seriously today.</w:t>
      </w:r>
    </w:p>
    <w:p>
      <w:pPr>
        <w:pStyle w:val="Heading2"/>
      </w:pPr>
      <w:r>
        <w:t>2. Trust and obedience belong together in discipleship.</w:t>
      </w:r>
    </w:p>
    <w:p>
      <w:r>
        <w:rPr>
          <w:b/>
        </w:rPr>
        <w:t xml:space="preserve">Explanation: </w:t>
      </w:r>
      <w:r>
        <w:t>Trust without obedience becomes sentiment. Obedience without trust becomes cold performance. Scripture joins them because love for Christ listens to Christ.</w:t>
      </w:r>
    </w:p>
    <w:p>
      <w:r>
        <w:rPr>
          <w:b/>
        </w:rPr>
        <w:t xml:space="preserve">Hymn connection: </w:t>
      </w:r>
      <w:r>
        <w:t>The refrain does not say “try harder and obey.” It says “trust and obey”: rely on Christ, then respond to Christ.</w:t>
      </w:r>
    </w:p>
    <w:p>
      <w:r>
        <w:rPr>
          <w:b/>
        </w:rPr>
        <w:t xml:space="preserve">Biblical support: </w:t>
      </w:r>
      <w:r>
        <w:t>Proverbs 3:5-6; John 14:15; James 1:22</w:t>
      </w:r>
    </w:p>
    <w:p>
      <w:r>
        <w:rPr>
          <w:b/>
        </w:rPr>
        <w:t xml:space="preserve">Illustration idea: </w:t>
      </w:r>
      <w:r>
        <w:t>A child learning to cross a busy street must both trust the parent and obey the instruction to stop, wait, and walk.</w:t>
      </w:r>
    </w:p>
    <w:p>
      <w:r>
        <w:rPr>
          <w:b/>
        </w:rPr>
        <w:t xml:space="preserve">Application: </w:t>
      </w:r>
      <w:r>
        <w:t>Call believers away from selective obedience and toward surrendered trust in the goodness of Christ.</w:t>
      </w:r>
    </w:p>
    <w:p>
      <w:pPr>
        <w:pStyle w:val="Heading2"/>
      </w:pPr>
      <w:r>
        <w:t>3. Christ meets His people in fear, sorrow, loss, and the cross.</w:t>
      </w:r>
    </w:p>
    <w:p>
      <w:r>
        <w:rPr>
          <w:b/>
        </w:rPr>
        <w:t xml:space="preserve">Explanation: </w:t>
      </w:r>
      <w:r>
        <w:t>The second and third stanzas name shadows, doubts, fears, tears, burdens, sorrows, grief, loss, and the cross. The hymn is not naive about suffering.</w:t>
      </w:r>
    </w:p>
    <w:p>
      <w:r>
        <w:rPr>
          <w:b/>
        </w:rPr>
        <w:t xml:space="preserve">Hymn connection: </w:t>
      </w:r>
      <w:r>
        <w:t>Trust and obedience are not only for sunny days; they are also for the road of tears.</w:t>
      </w:r>
    </w:p>
    <w:p>
      <w:r>
        <w:rPr>
          <w:b/>
        </w:rPr>
        <w:t xml:space="preserve">Biblical support: </w:t>
      </w:r>
      <w:r>
        <w:t>Psalm 25:14; Proverbs 3:5-6</w:t>
      </w:r>
    </w:p>
    <w:p>
      <w:r>
        <w:rPr>
          <w:b/>
        </w:rPr>
        <w:t xml:space="preserve">Illustration idea: </w:t>
      </w:r>
      <w:r>
        <w:t>A storm does not cancel the compass; it makes the compass more necessary.</w:t>
      </w:r>
    </w:p>
    <w:p>
      <w:r>
        <w:rPr>
          <w:b/>
        </w:rPr>
        <w:t xml:space="preserve">Application: </w:t>
      </w:r>
      <w:r>
        <w:t>Comfort the anxious and grieving: obedience may be as simple as bringing pain honestly to Christ and refusing to walk away from Him.</w:t>
      </w:r>
    </w:p>
    <w:p>
      <w:pPr>
        <w:pStyle w:val="Heading2"/>
      </w:pPr>
      <w:r>
        <w:t>4. The joy of Christ is known through consecrated surrender.</w:t>
      </w:r>
    </w:p>
    <w:p>
      <w:r>
        <w:rPr>
          <w:b/>
        </w:rPr>
        <w:t xml:space="preserve">Explanation: </w:t>
      </w:r>
      <w:r>
        <w:t>The fourth stanza teaches that the delights of Christ's love are not fully proved while the heart keeps its own throne. “All on the altar” is the language of whole-life surrender.</w:t>
      </w:r>
    </w:p>
    <w:p>
      <w:r>
        <w:rPr>
          <w:b/>
        </w:rPr>
        <w:t xml:space="preserve">Hymn connection: </w:t>
      </w:r>
      <w:r>
        <w:t>This is devotional interpretation and application from the hymn; the supplied scripture list supports obedience and doing the word, though Romans 12:1 is not included in the JSON source data.</w:t>
      </w:r>
    </w:p>
    <w:p>
      <w:r>
        <w:rPr>
          <w:b/>
        </w:rPr>
        <w:t xml:space="preserve">Biblical support: </w:t>
      </w:r>
      <w:r>
        <w:t>John 14:15; James 1:22; 1 Samuel 15:22</w:t>
      </w:r>
    </w:p>
    <w:p>
      <w:r>
        <w:rPr>
          <w:b/>
        </w:rPr>
        <w:t xml:space="preserve">Illustration idea: </w:t>
      </w:r>
      <w:r>
        <w:t>A locked room may belong to the house, but it is not yet open to the owner. Many believers reserve locked rooms from the Lord.</w:t>
      </w:r>
    </w:p>
    <w:p>
      <w:r>
        <w:rPr>
          <w:b/>
        </w:rPr>
        <w:t xml:space="preserve">Application: </w:t>
      </w:r>
      <w:r>
        <w:t>Ask hearers to name what is hardest to place before God: ambition, resentment, control, money, relationships, plans, or fear.</w:t>
      </w:r>
    </w:p>
    <w:p>
      <w:pPr>
        <w:pStyle w:val="Heading2"/>
      </w:pPr>
      <w:r>
        <w:t>5. The goal is fellowship with Christ and ready obedience to His mission.</w:t>
      </w:r>
    </w:p>
    <w:p>
      <w:r>
        <w:rPr>
          <w:b/>
        </w:rPr>
        <w:t xml:space="preserve">Explanation: </w:t>
      </w:r>
      <w:r>
        <w:t>The final stanza moves from sitting at Christ's feet to walking by His side. Discipleship includes both learning and going.</w:t>
      </w:r>
    </w:p>
    <w:p>
      <w:r>
        <w:rPr>
          <w:b/>
        </w:rPr>
        <w:t xml:space="preserve">Hymn connection: </w:t>
      </w:r>
      <w:r>
        <w:t>“What He says we will do; where He sends we will go” is the hymn's closing portrait of responsive faith.</w:t>
      </w:r>
    </w:p>
    <w:p>
      <w:r>
        <w:rPr>
          <w:b/>
        </w:rPr>
        <w:t xml:space="preserve">Biblical support: </w:t>
      </w:r>
      <w:r>
        <w:t>James 1:22; John 14:15</w:t>
      </w:r>
    </w:p>
    <w:p>
      <w:r>
        <w:rPr>
          <w:b/>
        </w:rPr>
        <w:t xml:space="preserve">Illustration idea: </w:t>
      </w:r>
      <w:r>
        <w:t>A student who never leaves the classroom has not completed the lesson; Christ teaches us so we can follow Him into obedience.</w:t>
      </w:r>
    </w:p>
    <w:p>
      <w:r>
        <w:rPr>
          <w:b/>
        </w:rPr>
        <w:t xml:space="preserve">Application: </w:t>
      </w:r>
      <w:r>
        <w:t>Send the congregation with one practical response: obey the next known command of Christ, trusting His grace for the next step.</w:t>
      </w:r>
    </w:p>
    <w:p>
      <w:pPr>
        <w:pStyle w:val="Heading1"/>
      </w:pPr>
      <w:r>
        <w:t>Christ-Centered Connection</w:t>
      </w:r>
    </w:p>
    <w:p>
      <w:r>
        <w:t>The hymn calls believers to trust and obey, but the gospel begins with Christ, the perfectly obedient Son who trusted the Father unto death and rose for our salvation. Our obedience does not earn our standing before God; it is the fruit of grace and the path of fellowship with the Savior who first obeyed for us and now walks with us by His Spirit.</w:t>
      </w:r>
    </w:p>
    <w:p>
      <w:pPr>
        <w:pStyle w:val="Heading1"/>
      </w:pPr>
      <w:r>
        <w:t>Pastoral Applications for Different Listeners</w:t>
      </w:r>
    </w:p>
    <w:tbl>
      <w:tblPr>
        <w:tblStyle w:val="TableGrid"/>
        <w:tblW w:type="auto" w:w="0"/>
        <w:jc w:val="center"/>
        <w:tblLook w:firstColumn="1" w:firstRow="1" w:lastColumn="0" w:lastRow="0" w:noHBand="0" w:noVBand="1" w:val="04A0"/>
      </w:tblPr>
      <w:tblGrid>
        <w:gridCol w:w="5184"/>
        <w:gridCol w:w="5184"/>
      </w:tblGrid>
      <w:tr>
        <w:tc>
          <w:tcPr>
            <w:tcW w:type="dxa" w:w="5184"/>
            <w:shd w:fill="EFE7D8"/>
          </w:tcPr>
          <w:p>
            <w:r/>
            <w:r>
              <w:rPr>
                <w:b/>
                <w:color w:val="3D2B1F"/>
                <w:sz w:val="17"/>
              </w:rPr>
              <w:t>Listener</w:t>
            </w:r>
          </w:p>
        </w:tc>
        <w:tc>
          <w:tcPr>
            <w:tcW w:type="dxa" w:w="5184"/>
            <w:shd w:fill="EFE7D8"/>
          </w:tcPr>
          <w:p>
            <w:r/>
            <w:r>
              <w:rPr>
                <w:b/>
                <w:color w:val="3D2B1F"/>
                <w:sz w:val="17"/>
              </w:rPr>
              <w:t>Pastoral word</w:t>
            </w:r>
          </w:p>
        </w:tc>
      </w:tr>
      <w:tr>
        <w:tc>
          <w:tcPr>
            <w:tcW w:type="dxa" w:w="5184"/>
          </w:tcPr>
          <w:p>
            <w:r/>
            <w:r>
              <w:rPr>
                <w:b/>
                <w:color w:val="7A5330"/>
                <w:sz w:val="16"/>
              </w:rPr>
              <w:t>Anxious</w:t>
            </w:r>
          </w:p>
        </w:tc>
        <w:tc>
          <w:tcPr>
            <w:tcW w:type="dxa" w:w="5184"/>
          </w:tcPr>
          <w:p>
            <w:r/>
            <w:r>
              <w:rPr>
                <w:b w:val="0"/>
                <w:sz w:val="16"/>
              </w:rPr>
              <w:t>You may not see the whole road, but the Lord gives enough light for the next faithful step.</w:t>
            </w:r>
          </w:p>
        </w:tc>
      </w:tr>
      <w:tr>
        <w:tc>
          <w:tcPr>
            <w:tcW w:type="dxa" w:w="5184"/>
          </w:tcPr>
          <w:p>
            <w:r/>
            <w:r>
              <w:rPr>
                <w:b/>
                <w:color w:val="7A5330"/>
                <w:sz w:val="16"/>
              </w:rPr>
              <w:t>Grieving</w:t>
            </w:r>
          </w:p>
        </w:tc>
        <w:tc>
          <w:tcPr>
            <w:tcW w:type="dxa" w:w="5184"/>
          </w:tcPr>
          <w:p>
            <w:r/>
            <w:r>
              <w:rPr>
                <w:b w:val="0"/>
                <w:sz w:val="16"/>
              </w:rPr>
              <w:t>The hymn names sorrow and loss; trusting Christ does not require pretending pain is small.</w:t>
            </w:r>
          </w:p>
        </w:tc>
      </w:tr>
      <w:tr>
        <w:tc>
          <w:tcPr>
            <w:tcW w:type="dxa" w:w="5184"/>
          </w:tcPr>
          <w:p>
            <w:r/>
            <w:r>
              <w:rPr>
                <w:b/>
                <w:color w:val="7A5330"/>
                <w:sz w:val="16"/>
              </w:rPr>
              <w:t>Doubting</w:t>
            </w:r>
          </w:p>
        </w:tc>
        <w:tc>
          <w:tcPr>
            <w:tcW w:type="dxa" w:w="5184"/>
          </w:tcPr>
          <w:p>
            <w:r/>
            <w:r>
              <w:rPr>
                <w:b w:val="0"/>
                <w:sz w:val="16"/>
              </w:rPr>
              <w:t>Bring doubts into the light of God's word rather than hiding them in isolation.</w:t>
            </w:r>
          </w:p>
        </w:tc>
      </w:tr>
      <w:tr>
        <w:tc>
          <w:tcPr>
            <w:tcW w:type="dxa" w:w="5184"/>
          </w:tcPr>
          <w:p>
            <w:r/>
            <w:r>
              <w:rPr>
                <w:b/>
                <w:color w:val="7A5330"/>
                <w:sz w:val="16"/>
              </w:rPr>
              <w:t>Joyful</w:t>
            </w:r>
          </w:p>
        </w:tc>
        <w:tc>
          <w:tcPr>
            <w:tcW w:type="dxa" w:w="5184"/>
          </w:tcPr>
          <w:p>
            <w:r/>
            <w:r>
              <w:rPr>
                <w:b w:val="0"/>
                <w:sz w:val="16"/>
              </w:rPr>
              <w:t>Let joy mature into gratitude, obedience, and service.</w:t>
            </w:r>
          </w:p>
        </w:tc>
      </w:tr>
      <w:tr>
        <w:tc>
          <w:tcPr>
            <w:tcW w:type="dxa" w:w="5184"/>
          </w:tcPr>
          <w:p>
            <w:r/>
            <w:r>
              <w:rPr>
                <w:b/>
                <w:color w:val="7A5330"/>
                <w:sz w:val="16"/>
              </w:rPr>
              <w:t>Serving</w:t>
            </w:r>
          </w:p>
        </w:tc>
        <w:tc>
          <w:tcPr>
            <w:tcW w:type="dxa" w:w="5184"/>
          </w:tcPr>
          <w:p>
            <w:r/>
            <w:r>
              <w:rPr>
                <w:b w:val="0"/>
                <w:sz w:val="16"/>
              </w:rPr>
              <w:t>Do not measure faithfulness only by visible results; obey the Lord in what He has given you.</w:t>
            </w:r>
          </w:p>
        </w:tc>
      </w:tr>
      <w:tr>
        <w:tc>
          <w:tcPr>
            <w:tcW w:type="dxa" w:w="5184"/>
          </w:tcPr>
          <w:p>
            <w:r/>
            <w:r>
              <w:rPr>
                <w:b/>
                <w:color w:val="7A5330"/>
                <w:sz w:val="16"/>
              </w:rPr>
              <w:t>Suffering</w:t>
            </w:r>
          </w:p>
        </w:tc>
        <w:tc>
          <w:tcPr>
            <w:tcW w:type="dxa" w:w="5184"/>
          </w:tcPr>
          <w:p>
            <w:r/>
            <w:r>
              <w:rPr>
                <w:b w:val="0"/>
                <w:sz w:val="16"/>
              </w:rPr>
              <w:t>The cross is not outside the life of trust; Christ meets His people there.</w:t>
            </w:r>
          </w:p>
        </w:tc>
      </w:tr>
      <w:tr>
        <w:tc>
          <w:tcPr>
            <w:tcW w:type="dxa" w:w="5184"/>
          </w:tcPr>
          <w:p>
            <w:r/>
            <w:r>
              <w:rPr>
                <w:b/>
                <w:color w:val="7A5330"/>
                <w:sz w:val="16"/>
              </w:rPr>
              <w:t>Worshiping</w:t>
            </w:r>
          </w:p>
        </w:tc>
        <w:tc>
          <w:tcPr>
            <w:tcW w:type="dxa" w:w="5184"/>
          </w:tcPr>
          <w:p>
            <w:r/>
            <w:r>
              <w:rPr>
                <w:b w:val="0"/>
                <w:sz w:val="16"/>
              </w:rPr>
              <w:t>Sing the refrain as a confession, not merely as a familiar chorus.</w:t>
            </w:r>
          </w:p>
        </w:tc>
      </w:tr>
    </w:tbl>
    <w:p>
      <w:pPr>
        <w:pStyle w:val="Heading1"/>
      </w:pPr>
      <w:r>
        <w:t>Conclusion and Call to Response</w:t>
      </w:r>
    </w:p>
    <w:p>
      <w:r>
        <w:t>End by returning to the refrain. The call is not vague improvement but specific surrender: trust the Lord with all your heart, do not lean on your own understanding, and become a doer of the word. Invite the congregation to name one act of obedience they will take in faith this week.</w:t>
      </w:r>
    </w:p>
    <w:p>
      <w:pPr>
        <w:pStyle w:val="Heading1"/>
      </w:pPr>
      <w:r>
        <w:t>Suggested Closing Prayer</w:t>
      </w:r>
    </w:p>
    <w:p>
      <w:r>
        <w:t>Lord Jesus Christ, You are trustworthy and Your word is light. Forgive us for hearing without doing and for obeying without love. Draw us into fellowship with You. Teach us to trust Your promise, obey Your command, surrender what we withhold, and follow where You send. Amen.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85A4C"/>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A2A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D2B1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7A533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7A533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3D2B1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