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F4E79"/>
          <w:sz w:val="44"/>
        </w:rPr>
        <w:t>We've a Story to Tell to the Nations</w:t>
      </w:r>
    </w:p>
    <w:p>
      <w:pPr>
        <w:jc w:val="center"/>
      </w:pPr>
      <w:r>
        <w:rPr>
          <w:i/>
          <w:color w:val="5A5A5A"/>
          <w:sz w:val="20"/>
        </w:rPr>
        <w:t>Sermon outline: The gospel story, the nations, and the kingdom of Christ</w:t>
      </w:r>
    </w:p>
    <w:p>
      <w:pPr>
        <w:jc w:val="center"/>
      </w:pPr>
      <w:r>
        <w:rPr>
          <w:color w:val="505050"/>
          <w:sz w:val="18"/>
        </w:rPr>
        <w:t>Words and music: Henry Ernest Nichol (1896) | Tune: MESSAGE</w:t>
      </w:r>
    </w:p>
    <w:p>
      <w:pPr>
        <w:pStyle w:val="Heading2"/>
        <w:spacing w:before="120" w:after="40"/>
      </w:pPr>
      <w:r>
        <w:t>Sermon Title</w:t>
      </w:r>
    </w:p>
    <w:p>
      <w:pPr>
        <w:spacing w:after="60"/>
      </w:pPr>
      <w:r>
        <w:t>A Story for the Nations</w:t>
      </w:r>
    </w:p>
    <w:p>
      <w:pPr>
        <w:pStyle w:val="Heading2"/>
        <w:spacing w:before="120" w:after="40"/>
      </w:pPr>
      <w:r>
        <w:t>Main Text and Supporting Scriptures</w:t>
      </w:r>
    </w:p>
    <w:p>
      <w:pPr>
        <w:spacing w:after="60"/>
      </w:pPr>
      <w:r>
        <w:t>Main Text: Matthew 28:19-20</w:t>
      </w:r>
    </w:p>
    <w:p>
      <w:pPr>
        <w:spacing w:after="60"/>
      </w:pPr>
      <w:r>
        <w:t>Supporting Scriptures: Psalm 96:1-3; John 3:16-17; Matthew 24:14; Isaiah 2:4</w:t>
      </w:r>
    </w:p>
    <w:p>
      <w:pPr>
        <w:pStyle w:val="Heading2"/>
        <w:spacing w:before="120" w:after="40"/>
      </w:pPr>
      <w:r>
        <w:t>Big Idea</w:t>
      </w:r>
    </w:p>
    <w:p>
      <w:pPr>
        <w:spacing w:after="60"/>
      </w:pPr>
      <w:r>
        <w:t>Christ sends his church to tell the gospel story to all nations, with humble confidence in his love, his presence, and his coming kingdom.</w:t>
      </w:r>
    </w:p>
    <w:p>
      <w:pPr>
        <w:pStyle w:val="Heading2"/>
        <w:spacing w:before="120" w:after="40"/>
      </w:pPr>
      <w:r>
        <w:t>Introduction</w:t>
      </w:r>
    </w:p>
    <w:p>
      <w:pPr>
        <w:spacing w:after="60"/>
      </w:pPr>
      <w:r>
        <w:t>Every congregation carries a story. Some stories are about survival, buildings, programs, or personalities. The church’s central story is larger: God loved the world, sent his Son, and now sends his people as witnesses until the kingdom is seen in fullness.</w:t>
      </w:r>
    </w:p>
    <w:p>
      <w:pPr>
        <w:spacing w:after="60"/>
      </w:pPr>
      <w:r>
        <w:t>We've a Story to Tell to the Nations gives a congregation words for this calling. It is not a strategy manual; it is a sung commitment to gospel witness.</w:t>
      </w:r>
    </w:p>
    <w:p>
      <w:pPr>
        <w:pStyle w:val="Heading2"/>
        <w:spacing w:before="120" w:after="40"/>
      </w:pPr>
      <w:r>
        <w:t>I. The church has a gospel story to tell.</w:t>
      </w:r>
    </w:p>
    <w:p>
      <w:pPr>
        <w:spacing w:after="60"/>
      </w:pPr>
      <w:r>
        <w:rPr>
          <w:b/>
          <w:color w:val="1F4E79"/>
        </w:rPr>
        <w:t>Explanation:</w:t>
      </w:r>
      <w:r>
        <w:t xml:space="preserve"> The command of Christ is not first to protect an institution but to make disciples. The message is truth and mercy because the gospel reveals both our need and God’s grace.</w:t>
      </w:r>
    </w:p>
    <w:p>
      <w:pPr>
        <w:spacing w:after="60"/>
      </w:pPr>
      <w:r>
        <w:rPr>
          <w:b/>
          <w:color w:val="1F4E79"/>
        </w:rPr>
        <w:t>Hymn connection:</w:t>
      </w:r>
      <w:r>
        <w:t xml:space="preserve"> Nichol’s hymn moves from story, to song, to message, to Savior, then gathers those movements into the hope of Christ’s kingdom.</w:t>
      </w:r>
    </w:p>
    <w:p>
      <w:pPr>
        <w:spacing w:after="60"/>
      </w:pPr>
      <w:r>
        <w:rPr>
          <w:b/>
          <w:color w:val="1F4E79"/>
        </w:rPr>
        <w:t>Biblical support:</w:t>
      </w:r>
      <w:r>
        <w:t xml:space="preserve"> Matthew 28:19-20; John 3:16-17</w:t>
      </w:r>
    </w:p>
    <w:p>
      <w:pPr>
        <w:spacing w:after="60"/>
      </w:pPr>
      <w:r>
        <w:rPr>
          <w:b/>
          <w:color w:val="1F4E79"/>
        </w:rPr>
        <w:t>Illustration idea:</w:t>
      </w:r>
      <w:r>
        <w:t xml:space="preserve"> Hold up an old family photograph or mission letter: a story connects people to a larger life they did not see firsthand.</w:t>
      </w:r>
    </w:p>
    <w:p>
      <w:pPr>
        <w:spacing w:after="60"/>
      </w:pPr>
      <w:r>
        <w:rPr>
          <w:b/>
          <w:color w:val="1F4E79"/>
        </w:rPr>
        <w:t>Application:</w:t>
      </w:r>
      <w:r>
        <w:t xml:space="preserve"> Speak of Christ plainly and graciously. Let the good news be clear enough for a child and deep enough for a sufferer.</w:t>
      </w:r>
    </w:p>
    <w:p>
      <w:pPr>
        <w:pStyle w:val="Heading2"/>
        <w:spacing w:before="120" w:after="40"/>
      </w:pPr>
      <w:r>
        <w:t>II. The church has a song that resists darkness.</w:t>
      </w:r>
    </w:p>
    <w:p>
      <w:pPr>
        <w:spacing w:after="60"/>
      </w:pPr>
      <w:r>
        <w:rPr>
          <w:b/>
          <w:color w:val="1F4E79"/>
        </w:rPr>
        <w:t>Explanation:</w:t>
      </w:r>
      <w:r>
        <w:t xml:space="preserve"> Psalm 96 shows that worship and witness belong together. The church sings before the nations because God’s salvation is good news for all the earth.</w:t>
      </w:r>
    </w:p>
    <w:p>
      <w:pPr>
        <w:spacing w:after="60"/>
      </w:pPr>
      <w:r>
        <w:rPr>
          <w:b/>
          <w:color w:val="1F4E79"/>
        </w:rPr>
        <w:t>Hymn connection:</w:t>
      </w:r>
      <w:r>
        <w:t xml:space="preserve"> Nichol’s hymn moves from story, to song, to message, to Savior, then gathers those movements into the hope of Christ’s kingdom.</w:t>
      </w:r>
    </w:p>
    <w:p>
      <w:pPr>
        <w:spacing w:after="60"/>
      </w:pPr>
      <w:r>
        <w:rPr>
          <w:b/>
          <w:color w:val="1F4E79"/>
        </w:rPr>
        <w:t>Biblical support:</w:t>
      </w:r>
      <w:r>
        <w:t xml:space="preserve"> Psalm 96:1-3; Matthew 24:14</w:t>
      </w:r>
    </w:p>
    <w:p>
      <w:pPr>
        <w:spacing w:after="60"/>
      </w:pPr>
      <w:r>
        <w:rPr>
          <w:b/>
          <w:color w:val="1F4E79"/>
        </w:rPr>
        <w:t>Illustration idea:</w:t>
      </w:r>
      <w:r>
        <w:t xml:space="preserve"> A congregation singing in a hospital room, prison chapel, or mission field can become a sign that darkness has not had the final word.</w:t>
      </w:r>
    </w:p>
    <w:p>
      <w:pPr>
        <w:spacing w:after="60"/>
      </w:pPr>
      <w:r>
        <w:rPr>
          <w:b/>
          <w:color w:val="1F4E79"/>
        </w:rPr>
        <w:t>Application:</w:t>
      </w:r>
      <w:r>
        <w:t xml:space="preserve"> Let worship shape courage. Sing in a way that sends the congregation out rather than leaving praise inside the sanctuary.</w:t>
      </w:r>
    </w:p>
    <w:p>
      <w:pPr>
        <w:pStyle w:val="Heading2"/>
        <w:spacing w:before="120" w:after="40"/>
      </w:pPr>
      <w:r>
        <w:t>III. The church has a message rooted in God’s love.</w:t>
      </w:r>
    </w:p>
    <w:p>
      <w:pPr>
        <w:spacing w:after="60"/>
      </w:pPr>
      <w:r>
        <w:rPr>
          <w:b/>
          <w:color w:val="1F4E79"/>
        </w:rPr>
        <w:t>Explanation:</w:t>
      </w:r>
      <w:r>
        <w:t xml:space="preserve"> Mission begins in God, not in human ambition. The Father sends the Son because he loves the world; the church goes because it has first been loved and reconciled.</w:t>
      </w:r>
    </w:p>
    <w:p>
      <w:pPr>
        <w:spacing w:after="60"/>
      </w:pPr>
      <w:r>
        <w:rPr>
          <w:b/>
          <w:color w:val="1F4E79"/>
        </w:rPr>
        <w:t>Hymn connection:</w:t>
      </w:r>
      <w:r>
        <w:t xml:space="preserve"> Nichol’s hymn moves from story, to song, to message, to Savior, then gathers those movements into the hope of Christ’s kingdom.</w:t>
      </w:r>
    </w:p>
    <w:p>
      <w:pPr>
        <w:spacing w:after="60"/>
      </w:pPr>
      <w:r>
        <w:rPr>
          <w:b/>
          <w:color w:val="1F4E79"/>
        </w:rPr>
        <w:t>Biblical support:</w:t>
      </w:r>
      <w:r>
        <w:t xml:space="preserve"> John 3:16-17; 2 Corinthians 5:18-20 may also be read if desired</w:t>
      </w:r>
    </w:p>
    <w:p>
      <w:pPr>
        <w:spacing w:after="60"/>
      </w:pPr>
      <w:r>
        <w:rPr>
          <w:b/>
          <w:color w:val="1F4E79"/>
        </w:rPr>
        <w:t>Illustration idea:</w:t>
      </w:r>
      <w:r>
        <w:t xml:space="preserve"> A messenger who misunderstands the sender can distort the whole message. The tone of mission must match the heart of God revealed in Christ.</w:t>
      </w:r>
    </w:p>
    <w:p>
      <w:pPr>
        <w:spacing w:after="60"/>
      </w:pPr>
      <w:r>
        <w:rPr>
          <w:b/>
          <w:color w:val="1F4E79"/>
        </w:rPr>
        <w:t>Application:</w:t>
      </w:r>
      <w:r>
        <w:t xml:space="preserve"> Reject arrogance, coercion, and contempt. Witness with patience, cultural humility, and confidence in the gospel.</w:t>
      </w:r>
    </w:p>
    <w:p>
      <w:pPr>
        <w:pStyle w:val="Heading2"/>
        <w:spacing w:before="120" w:after="40"/>
      </w:pPr>
      <w:r>
        <w:t>IV. The church points to the Savior and his kingdom.</w:t>
      </w:r>
    </w:p>
    <w:p>
      <w:pPr>
        <w:spacing w:after="60"/>
      </w:pPr>
      <w:r>
        <w:rPr>
          <w:b/>
          <w:color w:val="1F4E79"/>
        </w:rPr>
        <w:t>Explanation:</w:t>
      </w:r>
      <w:r>
        <w:t xml:space="preserve"> The goal of mission is not Christian pride but the worship of Christ and the renewal promised in God’s kingdom. Isaiah’s vision of peace shows that the gospel hope reaches beyond private spirituality.</w:t>
      </w:r>
    </w:p>
    <w:p>
      <w:pPr>
        <w:spacing w:after="60"/>
      </w:pPr>
      <w:r>
        <w:rPr>
          <w:b/>
          <w:color w:val="1F4E79"/>
        </w:rPr>
        <w:t>Hymn connection:</w:t>
      </w:r>
      <w:r>
        <w:t xml:space="preserve"> Nichol’s hymn moves from story, to song, to message, to Savior, then gathers those movements into the hope of Christ’s kingdom.</w:t>
      </w:r>
    </w:p>
    <w:p>
      <w:pPr>
        <w:spacing w:after="60"/>
      </w:pPr>
      <w:r>
        <w:rPr>
          <w:b/>
          <w:color w:val="1F4E79"/>
        </w:rPr>
        <w:t>Biblical support:</w:t>
      </w:r>
      <w:r>
        <w:t xml:space="preserve"> Isaiah 2:4; Revelation 11:15 may also be read if desired</w:t>
      </w:r>
    </w:p>
    <w:p>
      <w:pPr>
        <w:spacing w:after="60"/>
      </w:pPr>
      <w:r>
        <w:rPr>
          <w:b/>
          <w:color w:val="1F4E79"/>
        </w:rPr>
        <w:t>Illustration idea:</w:t>
      </w:r>
      <w:r>
        <w:t xml:space="preserve"> A lighthouse does not call attention to itself for its own sake; it gives light so others may find the harbor.</w:t>
      </w:r>
    </w:p>
    <w:p>
      <w:pPr>
        <w:spacing w:after="60"/>
      </w:pPr>
      <w:r>
        <w:rPr>
          <w:b/>
          <w:color w:val="1F4E79"/>
        </w:rPr>
        <w:t>Application:</w:t>
      </w:r>
      <w:r>
        <w:t xml:space="preserve"> Ask where your church is called to be a light: among neighbors, children, workers, immigrants, the poor, the unreached, and the wounded.</w:t>
      </w:r>
    </w:p>
    <w:p>
      <w:pPr>
        <w:pStyle w:val="Heading2"/>
        <w:spacing w:before="120" w:after="40"/>
      </w:pPr>
      <w:r>
        <w:t>Christ-Centered Connection</w:t>
      </w:r>
    </w:p>
    <w:p>
      <w:pPr>
        <w:spacing w:after="60"/>
      </w:pPr>
      <w:r>
        <w:t>The nations do not need the church’s pride; they need the Savior. The church can tell the story only because Christ has first come to us, borne sorrow, died for sinners, risen in victory, and promised his presence to the end of the age.</w:t>
      </w:r>
    </w:p>
    <w:p>
      <w:pPr>
        <w:pStyle w:val="Heading2"/>
        <w:spacing w:before="120" w:after="40"/>
      </w:pPr>
      <w:r>
        <w:t>Pastoral Applications</w:t>
      </w:r>
    </w:p>
    <w:p>
      <w:pPr>
        <w:pStyle w:val="ListBullet"/>
        <w:spacing w:after="30"/>
      </w:pPr>
      <w:r>
        <w:t>For the fearful: Christ’s presence stands behind the command to go.</w:t>
      </w:r>
    </w:p>
    <w:p>
      <w:pPr>
        <w:pStyle w:val="ListBullet"/>
        <w:spacing w:after="30"/>
      </w:pPr>
      <w:r>
        <w:t>For the proud: the gospel is good news of grace, not a banner for superiority.</w:t>
      </w:r>
    </w:p>
    <w:p>
      <w:pPr>
        <w:pStyle w:val="ListBullet"/>
        <w:spacing w:after="30"/>
      </w:pPr>
      <w:r>
        <w:t>For the weary: mission is sustained by the promised kingdom, not by visible results alone.</w:t>
      </w:r>
    </w:p>
    <w:p>
      <w:pPr>
        <w:pStyle w:val="ListBullet"/>
        <w:spacing w:after="30"/>
      </w:pPr>
      <w:r>
        <w:t>For the comfortable: the love of God is too large to be kept within familiar walls.</w:t>
      </w:r>
    </w:p>
    <w:p>
      <w:pPr>
        <w:pStyle w:val="ListBullet"/>
        <w:spacing w:after="30"/>
      </w:pPr>
      <w:r>
        <w:t>For the grieving world: the church bears witness to a kingdom of peace, truth, mercy, and light.</w:t>
      </w:r>
    </w:p>
    <w:p>
      <w:pPr>
        <w:pStyle w:val="Heading2"/>
        <w:spacing w:before="120" w:after="40"/>
      </w:pPr>
      <w:r>
        <w:t>Conclusion and Call to Response</w:t>
      </w:r>
    </w:p>
    <w:p>
      <w:pPr>
        <w:spacing w:after="60"/>
      </w:pPr>
      <w:r>
        <w:t>Call the congregation to repent of silence, pride, and indifference. Then call them to receive Christ’s love afresh and to become truthful, merciful witnesses in their homes, neighborhoods, workplaces, and across the world through prayer, giving, sending, and going.</w:t>
      </w:r>
    </w:p>
    <w:p>
      <w:pPr>
        <w:pStyle w:val="Heading2"/>
        <w:spacing w:before="120" w:after="40"/>
      </w:pPr>
      <w:r>
        <w:t>Suggested Closing Prayer</w:t>
      </w:r>
    </w:p>
    <w:p>
      <w:pPr>
        <w:spacing w:after="60"/>
      </w:pPr>
      <w:r>
        <w:t>King Jesus, Lord of all nations, make your church faithful to the gospel. Give us the courage to tell your story, the humility to serve in love, and the hope to labor for your coming kingdom. Let the darkness turn toward dawn through the light of your truth. Amen.</w:t>
      </w:r>
    </w:p>
    <w:p>
      <w:pPr>
        <w:jc w:val="center"/>
      </w:pPr>
      <w:r>
        <w:rPr>
          <w:color w:val="6E6E6E"/>
          <w:sz w:val="15"/>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5A5A"/>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1F4E79"/>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1F4E79"/>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1F4E79"/>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We've a Story to Tell to the Nations Sermon Outline</dc:title>
  <dc:subject>Hymn study resource</dc:subject>
  <dc:creator>HymnInfo.com</dc:creator>
  <cp:keywords>hymn study, Christian worship, church teaching, HymnInfo</cp:keywords>
  <dc:description>generated by python-docx</dc:description>
  <cp:lastModifiedBy/>
  <cp:revision>1</cp:revision>
  <dcterms:created xsi:type="dcterms:W3CDTF">2013-12-23T23:15:00Z</dcterms:created>
  <dcterms:modified xsi:type="dcterms:W3CDTF">2013-12-23T23:15:00Z</dcterms:modified>
  <cp:category/>
</cp:coreProperties>
</file>