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4"/>
        </w:rPr>
        <w:t>We've a Story to Tell to the Nations</w:t>
      </w:r>
    </w:p>
    <w:p>
      <w:pPr>
        <w:jc w:val="center"/>
      </w:pPr>
      <w:r>
        <w:rPr>
          <w:i/>
          <w:color w:val="5A5A5A"/>
          <w:sz w:val="20"/>
        </w:rPr>
        <w:t>A small-group study on gospel witness, kingdom hope, and humble mission</w:t>
      </w:r>
    </w:p>
    <w:p>
      <w:pPr>
        <w:jc w:val="center"/>
      </w:pPr>
      <w:r>
        <w:rPr>
          <w:color w:val="505050"/>
          <w:sz w:val="18"/>
        </w:rPr>
        <w:t>Words and music: Henry Ernest Nichol (1896) | Tune: MESSAGE</w:t>
      </w:r>
    </w:p>
    <w:p>
      <w:pPr>
        <w:pStyle w:val="Heading2"/>
        <w:spacing w:before="120" w:after="40"/>
      </w:pPr>
      <w:r>
        <w:t>Purpose of This Study</w:t>
      </w:r>
    </w:p>
    <w:p>
      <w:pPr>
        <w:spacing w:after="60"/>
      </w:pPr>
      <w:r>
        <w:t>This discussion helps a group hear the hymn as a call to bear witness to Christ with humility, prayer, and active love for the nations.</w:t>
      </w:r>
    </w:p>
    <w:p>
      <w:pPr>
        <w:pStyle w:val="Heading2"/>
        <w:spacing w:before="120" w:after="40"/>
      </w:pPr>
      <w:r>
        <w:t>Opening Reflection</w:t>
      </w:r>
    </w:p>
    <w:p>
      <w:pPr>
        <w:pStyle w:val="ListBullet"/>
        <w:spacing w:after="30"/>
      </w:pPr>
      <w:r>
        <w:t>When have you heard a simple story change someone’s direction or hope?</w:t>
      </w:r>
    </w:p>
    <w:p>
      <w:pPr>
        <w:pStyle w:val="ListBullet"/>
        <w:spacing w:after="30"/>
      </w:pPr>
      <w:r>
        <w:t>What makes Christian witness feel difficult in ordinary conversation?</w:t>
      </w:r>
    </w:p>
    <w:p>
      <w:pPr>
        <w:pStyle w:val="ListBullet"/>
        <w:spacing w:after="30"/>
      </w:pPr>
      <w:r>
        <w:t>How can a church speak about mission with both confidence in Christ and humility toward others?</w:t>
      </w:r>
    </w:p>
    <w:p>
      <w:pPr>
        <w:pStyle w:val="Heading2"/>
        <w:spacing w:before="120" w:after="40"/>
      </w:pPr>
      <w:r>
        <w:t>Brief Hymn Background</w:t>
      </w:r>
    </w:p>
    <w:p>
      <w:pPr>
        <w:spacing w:after="60"/>
      </w:pPr>
      <w:r>
        <w:t>Henry Ernest Nichol (1862-1926) wrote both the text and tune for this mission hymn. Some hymnals credit the author as Colin Sterne, Nichol’s pseudonym.</w:t>
      </w:r>
    </w:p>
    <w:p>
      <w:pPr>
        <w:spacing w:after="60"/>
      </w:pPr>
      <w:r>
        <w:t>The hymn first appeared in The Sunday School Hymnary in London in 1896. Its tune, MESSAGE, has remained closely tied to the text.</w:t>
      </w:r>
    </w:p>
    <w:p>
      <w:pPr>
        <w:spacing w:after="60"/>
      </w:pPr>
      <w:r>
        <w:t>The hymn belongs to a late nineteenth-century mission-song setting. Today it is best taught as a biblical call to Christ-centered witness, joined with humility, cultural respect, and dependence on the Spirit.</w:t>
      </w:r>
    </w:p>
    <w:p>
      <w:pPr>
        <w:pStyle w:val="Heading2"/>
        <w:spacing w:before="120" w:after="40"/>
      </w:pPr>
      <w:r>
        <w:t>Scripture for Group Reading</w:t>
      </w:r>
    </w:p>
    <w:p>
      <w:pPr>
        <w:spacing w:after="60"/>
      </w:pPr>
      <w:r>
        <w:t>Primary text: Matthew 28:19-20 - Christ sends his followers to make disciples of all nations and promises his presence.</w:t>
      </w:r>
    </w:p>
    <w:p>
      <w:pPr>
        <w:spacing w:after="60"/>
      </w:pPr>
      <w:r>
        <w:t>Supporting texts: Matthew 24:14; Psalm 96:1-3; John 3:16-17; Isaiah 2:4.</w:t>
      </w:r>
    </w:p>
    <w:p>
      <w:pPr>
        <w:pStyle w:val="Heading2"/>
        <w:spacing w:before="120" w:after="40"/>
      </w:pPr>
      <w:r>
        <w:t>Hymn Movement in Plain Language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D9EAF7"/>
            <w:tcBorders>
              <w:top w:sz="4" w:val="single" w:color="B7C9D6"/>
              <w:left w:sz="4" w:val="single" w:color="B7C9D6"/>
              <w:bottom w:sz="4" w:val="single" w:color="B7C9D6"/>
              <w:right w:sz="4" w:val="single" w:color="B7C9D6"/>
            </w:tcBorders>
          </w:tcPr>
          <w:p>
            <w:r>
              <w:rPr>
                <w:b/>
                <w:sz w:val="17"/>
              </w:rPr>
              <w:t>Hymn Movement</w:t>
            </w:r>
          </w:p>
        </w:tc>
        <w:tc>
          <w:tcPr>
            <w:tcW w:type="dxa" w:w="3456"/>
            <w:shd w:fill="D9EAF7"/>
            <w:tcBorders>
              <w:top w:sz="4" w:val="single" w:color="B7C9D6"/>
              <w:left w:sz="4" w:val="single" w:color="B7C9D6"/>
              <w:bottom w:sz="4" w:val="single" w:color="B7C9D6"/>
              <w:right w:sz="4" w:val="single" w:color="B7C9D6"/>
            </w:tcBorders>
          </w:tcPr>
          <w:p>
            <w:r>
              <w:rPr>
                <w:b/>
                <w:sz w:val="17"/>
              </w:rPr>
              <w:t>Teaching Summary</w:t>
            </w:r>
          </w:p>
        </w:tc>
        <w:tc>
          <w:tcPr>
            <w:tcW w:type="dxa" w:w="3456"/>
            <w:shd w:fill="D9EAF7"/>
            <w:tcBorders>
              <w:top w:sz="4" w:val="single" w:color="B7C9D6"/>
              <w:left w:sz="4" w:val="single" w:color="B7C9D6"/>
              <w:bottom w:sz="4" w:val="single" w:color="B7C9D6"/>
              <w:right w:sz="4" w:val="single" w:color="B7C9D6"/>
            </w:tcBorders>
          </w:tcPr>
          <w:p>
            <w:r>
              <w:rPr>
                <w:b/>
                <w:sz w:val="17"/>
              </w:rPr>
              <w:t>Discussion Prompt</w:t>
            </w:r>
          </w:p>
        </w:tc>
      </w:tr>
      <w:tr>
        <w:tc>
          <w:tcPr>
            <w:tcW w:type="dxa" w:w="3456"/>
            <w:vAlign w:val="top"/>
            <w:tcBorders>
              <w:top w:sz="4" w:val="single" w:color="B7C9D6"/>
              <w:left w:sz="4" w:val="single" w:color="B7C9D6"/>
              <w:bottom w:sz="4" w:val="single" w:color="B7C9D6"/>
              <w:right w:sz="4" w:val="single" w:color="B7C9D6"/>
            </w:tcBorders>
          </w:tcPr>
          <w:p>
            <w:r>
              <w:rPr>
                <w:sz w:val="17"/>
              </w:rPr>
              <w:t>Story</w:t>
            </w:r>
          </w:p>
        </w:tc>
        <w:tc>
          <w:tcPr>
            <w:tcW w:type="dxa" w:w="3456"/>
            <w:vAlign w:val="top"/>
            <w:tcBorders>
              <w:top w:sz="4" w:val="single" w:color="B7C9D6"/>
              <w:left w:sz="4" w:val="single" w:color="B7C9D6"/>
              <w:bottom w:sz="4" w:val="single" w:color="B7C9D6"/>
              <w:right w:sz="4" w:val="single" w:color="B7C9D6"/>
            </w:tcBorders>
          </w:tcPr>
          <w:p>
            <w:r>
              <w:rPr>
                <w:sz w:val="17"/>
              </w:rPr>
              <w:t>The gospel is truth joined with mercy, peace, and light.</w:t>
            </w:r>
          </w:p>
        </w:tc>
        <w:tc>
          <w:tcPr>
            <w:tcW w:type="dxa" w:w="3456"/>
            <w:vAlign w:val="top"/>
            <w:tcBorders>
              <w:top w:sz="4" w:val="single" w:color="B7C9D6"/>
              <w:left w:sz="4" w:val="single" w:color="B7C9D6"/>
              <w:bottom w:sz="4" w:val="single" w:color="B7C9D6"/>
              <w:right w:sz="4" w:val="single" w:color="B7C9D6"/>
            </w:tcBorders>
          </w:tcPr>
          <w:p>
            <w:r>
              <w:rPr>
                <w:sz w:val="17"/>
              </w:rPr>
              <w:t>How can we tell the gospel without harshness or fear?</w:t>
            </w:r>
          </w:p>
        </w:tc>
      </w:tr>
      <w:tr>
        <w:tc>
          <w:tcPr>
            <w:tcW w:type="dxa" w:w="3456"/>
            <w:vAlign w:val="top"/>
            <w:tcBorders>
              <w:top w:sz="4" w:val="single" w:color="B7C9D6"/>
              <w:left w:sz="4" w:val="single" w:color="B7C9D6"/>
              <w:bottom w:sz="4" w:val="single" w:color="B7C9D6"/>
              <w:right w:sz="4" w:val="single" w:color="B7C9D6"/>
            </w:tcBorders>
          </w:tcPr>
          <w:p>
            <w:r>
              <w:rPr>
                <w:sz w:val="17"/>
              </w:rPr>
              <w:t>Song</w:t>
            </w:r>
          </w:p>
        </w:tc>
        <w:tc>
          <w:tcPr>
            <w:tcW w:type="dxa" w:w="3456"/>
            <w:vAlign w:val="top"/>
            <w:tcBorders>
              <w:top w:sz="4" w:val="single" w:color="B7C9D6"/>
              <w:left w:sz="4" w:val="single" w:color="B7C9D6"/>
              <w:bottom w:sz="4" w:val="single" w:color="B7C9D6"/>
              <w:right w:sz="4" w:val="single" w:color="B7C9D6"/>
            </w:tcBorders>
          </w:tcPr>
          <w:p>
            <w:r>
              <w:rPr>
                <w:sz w:val="17"/>
              </w:rPr>
              <w:t>The worship of the church becomes a witness against evil and violence.</w:t>
            </w:r>
          </w:p>
        </w:tc>
        <w:tc>
          <w:tcPr>
            <w:tcW w:type="dxa" w:w="3456"/>
            <w:vAlign w:val="top"/>
            <w:tcBorders>
              <w:top w:sz="4" w:val="single" w:color="B7C9D6"/>
              <w:left w:sz="4" w:val="single" w:color="B7C9D6"/>
              <w:bottom w:sz="4" w:val="single" w:color="B7C9D6"/>
              <w:right w:sz="4" w:val="single" w:color="B7C9D6"/>
            </w:tcBorders>
          </w:tcPr>
          <w:p>
            <w:r>
              <w:rPr>
                <w:sz w:val="17"/>
              </w:rPr>
              <w:t>How does worship train us to hope for God’s peace?</w:t>
            </w:r>
          </w:p>
        </w:tc>
      </w:tr>
      <w:tr>
        <w:tc>
          <w:tcPr>
            <w:tcW w:type="dxa" w:w="3456"/>
            <w:vAlign w:val="top"/>
            <w:tcBorders>
              <w:top w:sz="4" w:val="single" w:color="B7C9D6"/>
              <w:left w:sz="4" w:val="single" w:color="B7C9D6"/>
              <w:bottom w:sz="4" w:val="single" w:color="B7C9D6"/>
              <w:right w:sz="4" w:val="single" w:color="B7C9D6"/>
            </w:tcBorders>
          </w:tcPr>
          <w:p>
            <w:r>
              <w:rPr>
                <w:sz w:val="17"/>
              </w:rPr>
              <w:t>Message</w:t>
            </w:r>
          </w:p>
        </w:tc>
        <w:tc>
          <w:tcPr>
            <w:tcW w:type="dxa" w:w="3456"/>
            <w:vAlign w:val="top"/>
            <w:tcBorders>
              <w:top w:sz="4" w:val="single" w:color="B7C9D6"/>
              <w:left w:sz="4" w:val="single" w:color="B7C9D6"/>
              <w:bottom w:sz="4" w:val="single" w:color="B7C9D6"/>
              <w:right w:sz="4" w:val="single" w:color="B7C9D6"/>
            </w:tcBorders>
          </w:tcPr>
          <w:p>
            <w:r>
              <w:rPr>
                <w:sz w:val="17"/>
              </w:rPr>
              <w:t>The heart of mission is God’s love shown in the sending of the Son.</w:t>
            </w:r>
          </w:p>
        </w:tc>
        <w:tc>
          <w:tcPr>
            <w:tcW w:type="dxa" w:w="3456"/>
            <w:vAlign w:val="top"/>
            <w:tcBorders>
              <w:top w:sz="4" w:val="single" w:color="B7C9D6"/>
              <w:left w:sz="4" w:val="single" w:color="B7C9D6"/>
              <w:bottom w:sz="4" w:val="single" w:color="B7C9D6"/>
              <w:right w:sz="4" w:val="single" w:color="B7C9D6"/>
            </w:tcBorders>
          </w:tcPr>
          <w:p>
            <w:r>
              <w:rPr>
                <w:sz w:val="17"/>
              </w:rPr>
              <w:t>What changes when mission begins with God’s love, not church self-promotion?</w:t>
            </w:r>
          </w:p>
        </w:tc>
      </w:tr>
      <w:tr>
        <w:tc>
          <w:tcPr>
            <w:tcW w:type="dxa" w:w="3456"/>
            <w:vAlign w:val="top"/>
            <w:tcBorders>
              <w:top w:sz="4" w:val="single" w:color="B7C9D6"/>
              <w:left w:sz="4" w:val="single" w:color="B7C9D6"/>
              <w:bottom w:sz="4" w:val="single" w:color="B7C9D6"/>
              <w:right w:sz="4" w:val="single" w:color="B7C9D6"/>
            </w:tcBorders>
          </w:tcPr>
          <w:p>
            <w:r>
              <w:rPr>
                <w:sz w:val="17"/>
              </w:rPr>
              <w:t>Savior</w:t>
            </w:r>
          </w:p>
        </w:tc>
        <w:tc>
          <w:tcPr>
            <w:tcW w:type="dxa" w:w="3456"/>
            <w:vAlign w:val="top"/>
            <w:tcBorders>
              <w:top w:sz="4" w:val="single" w:color="B7C9D6"/>
              <w:left w:sz="4" w:val="single" w:color="B7C9D6"/>
              <w:bottom w:sz="4" w:val="single" w:color="B7C9D6"/>
              <w:right w:sz="4" w:val="single" w:color="B7C9D6"/>
            </w:tcBorders>
          </w:tcPr>
          <w:p>
            <w:r>
              <w:rPr>
                <w:sz w:val="17"/>
              </w:rPr>
              <w:t>Christian witness finally points to Christ himself, who walked the path of sorrow for the world.</w:t>
            </w:r>
          </w:p>
        </w:tc>
        <w:tc>
          <w:tcPr>
            <w:tcW w:type="dxa" w:w="3456"/>
            <w:vAlign w:val="top"/>
            <w:tcBorders>
              <w:top w:sz="4" w:val="single" w:color="B7C9D6"/>
              <w:left w:sz="4" w:val="single" w:color="B7C9D6"/>
              <w:bottom w:sz="4" w:val="single" w:color="B7C9D6"/>
              <w:right w:sz="4" w:val="single" w:color="B7C9D6"/>
            </w:tcBorders>
          </w:tcPr>
          <w:p>
            <w:r>
              <w:rPr>
                <w:sz w:val="17"/>
              </w:rPr>
              <w:t>How can our words and actions point more clearly to Christ?</w:t>
            </w:r>
          </w:p>
        </w:tc>
      </w:tr>
    </w:tbl>
    <w:p>
      <w:pPr>
        <w:pStyle w:val="Heading2"/>
        <w:spacing w:before="120" w:after="40"/>
      </w:pPr>
      <w:r>
        <w:t>Discussion Questions</w:t>
      </w:r>
    </w:p>
    <w:p>
      <w:pPr>
        <w:pStyle w:val="ListBullet"/>
        <w:spacing w:after="30"/>
      </w:pPr>
      <w:r>
        <w:t>What is the difference between telling the gospel story and merely defending a religious position?</w:t>
      </w:r>
    </w:p>
    <w:p>
      <w:pPr>
        <w:pStyle w:val="ListBullet"/>
        <w:spacing w:after="30"/>
      </w:pPr>
      <w:r>
        <w:t>How do Matthew 28:19-20 and Psalm 96:1-3 connect mission with worship?</w:t>
      </w:r>
    </w:p>
    <w:p>
      <w:pPr>
        <w:pStyle w:val="ListBullet"/>
        <w:spacing w:after="30"/>
      </w:pPr>
      <w:r>
        <w:t>What does John 3:16-17 teach us about the source and tone of Christian mission?</w:t>
      </w:r>
    </w:p>
    <w:p>
      <w:pPr>
        <w:pStyle w:val="ListBullet"/>
        <w:spacing w:after="30"/>
      </w:pPr>
      <w:r>
        <w:t>How does Isaiah 2:4 shape the hymn’s hope for peace among nations?</w:t>
      </w:r>
    </w:p>
    <w:p>
      <w:pPr>
        <w:pStyle w:val="ListBullet"/>
        <w:spacing w:after="30"/>
      </w:pPr>
      <w:r>
        <w:t>What parts of older missionary language need to be taught carefully today?</w:t>
      </w:r>
    </w:p>
    <w:p>
      <w:pPr>
        <w:pStyle w:val="ListBullet"/>
        <w:spacing w:after="30"/>
      </w:pPr>
      <w:r>
        <w:t>Where is God already calling our group or church to faithful witness?</w:t>
      </w:r>
    </w:p>
    <w:p>
      <w:pPr>
        <w:pStyle w:val="ListBullet"/>
        <w:spacing w:after="30"/>
      </w:pPr>
      <w:r>
        <w:t>How can we pray for the global church without making mission sound like cultural superiority?</w:t>
      </w:r>
    </w:p>
    <w:p>
      <w:pPr>
        <w:pStyle w:val="Heading2"/>
        <w:spacing w:before="120" w:after="40"/>
      </w:pPr>
      <w:r>
        <w:t>Practice This Week</w:t>
      </w:r>
    </w:p>
    <w:p>
      <w:pPr>
        <w:pStyle w:val="ListBullet"/>
        <w:spacing w:after="30"/>
      </w:pPr>
      <w:r>
        <w:t>Pray daily for one nation, one missionary or church worker, and one local neighbor.</w:t>
      </w:r>
    </w:p>
    <w:p>
      <w:pPr>
        <w:pStyle w:val="ListBullet"/>
        <w:spacing w:after="30"/>
      </w:pPr>
      <w:r>
        <w:t>Read Psalm 96 aloud and turn it into a prayer of worship and witness.</w:t>
      </w:r>
    </w:p>
    <w:p>
      <w:pPr>
        <w:pStyle w:val="ListBullet"/>
        <w:spacing w:after="30"/>
      </w:pPr>
      <w:r>
        <w:t>Share one truthful, gentle sentence about Christ with someone when a natural opportunity comes.</w:t>
      </w:r>
    </w:p>
    <w:p>
      <w:pPr>
        <w:pStyle w:val="ListBullet"/>
        <w:spacing w:after="30"/>
      </w:pPr>
      <w:r>
        <w:t>Support a ministry that proclaims Christ while serving people with humility and mercy.</w:t>
      </w:r>
    </w:p>
    <w:p>
      <w:pPr>
        <w:pStyle w:val="ListBullet"/>
        <w:spacing w:after="30"/>
      </w:pPr>
      <w:r>
        <w:t>Ask God to make your church a community of love and light in its own neighborhood.</w:t>
      </w:r>
    </w:p>
    <w:p>
      <w:pPr>
        <w:pStyle w:val="Heading2"/>
        <w:spacing w:before="120" w:after="40"/>
      </w:pPr>
      <w:r>
        <w:t>Leader Notes</w:t>
      </w:r>
    </w:p>
    <w:p>
      <w:pPr>
        <w:spacing w:after="60"/>
      </w:pPr>
      <w:r>
        <w:t>Guide the group away from triumphalism. The hymn’s strongest use today is as a summons to faithful, humble witness rooted in Christ’s love for the world.</w:t>
      </w:r>
    </w:p>
    <w:p>
      <w:pPr>
        <w:spacing w:after="60"/>
      </w:pPr>
      <w:r>
        <w:t>When discussing mission history, acknowledge that Christians have not always witnessed well. Then return to Scripture: Christ sends his people with his authority, his presence, and his command to teach obedience to him.</w:t>
      </w:r>
    </w:p>
    <w:p>
      <w:pPr>
        <w:pStyle w:val="Heading2"/>
        <w:spacing w:before="120" w:after="40"/>
      </w:pPr>
      <w:r>
        <w:t>Closing Prayer</w:t>
      </w:r>
    </w:p>
    <w:p>
      <w:pPr>
        <w:spacing w:after="60"/>
      </w:pPr>
      <w:r>
        <w:t>Lord Jesus Christ, you send your church to bear witness among all peoples. Give us courage without pride, love without fear, and truth without harshness. Let our worship become witness and our witness lead others to the light of your kingdom. Amen.</w:t>
      </w:r>
    </w:p>
    <w:p>
      <w:pPr>
        <w:jc w:val="center"/>
      </w:pPr>
      <w:r>
        <w:rPr>
          <w:color w:val="6E6E6E"/>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We've a Story to Tell to the Nations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