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2A3A25"/>
          <w:sz w:val="44"/>
        </w:rPr>
        <w:t>For the Beauty of the Earth</w:t>
      </w:r>
    </w:p>
    <w:p>
      <w:pPr>
        <w:jc w:val="center"/>
      </w:pPr>
      <w:r>
        <w:rPr>
          <w:i/>
          <w:color w:val="645434"/>
          <w:sz w:val="24"/>
        </w:rPr>
        <w:t>Sermon Outline</w:t>
      </w:r>
    </w:p>
    <w:p>
      <w:pPr>
        <w:jc w:val="center"/>
      </w:pPr>
      <w:r>
        <w:rPr>
          <w:color w:val="5A5A5A"/>
          <w:sz w:val="20"/>
        </w:rPr>
        <w:t>Folliott Sandford Pierpoint • DIX (Conrad Kocher) • 1864</w:t>
      </w:r>
    </w:p>
    <w:p/>
    <w:p>
      <w:pPr>
        <w:pStyle w:val="Heading1"/>
      </w:pPr>
      <w:r>
        <w:t>Sermon Title</w:t>
      </w:r>
    </w:p>
    <w:p>
      <w:r>
        <w:t>A Hymn of Grateful Praise</w:t>
      </w:r>
    </w:p>
    <w:p>
      <w:pPr>
        <w:pStyle w:val="Heading1"/>
      </w:pPr>
      <w:r>
        <w:t>Main Text and Supporting Scriptures</w:t>
      </w:r>
    </w:p>
    <w:p>
      <w:r>
        <w:t>Main text: James 1:17. Supporting texts: Genesis 1:31; Psalm 19:1; Psalm 104:24; Colossians 1:16.</w:t>
      </w:r>
    </w:p>
    <w:p>
      <w:pPr>
        <w:pStyle w:val="Heading1"/>
      </w:pPr>
      <w:r>
        <w:t>Big Idea</w:t>
      </w:r>
    </w:p>
    <w:p>
      <w:r>
        <w:t>Every good gift comes from God, and the fitting response of the redeemed heart is grateful praise.</w:t>
      </w:r>
    </w:p>
    <w:p>
      <w:pPr>
        <w:pStyle w:val="Heading1"/>
      </w:pPr>
      <w:r>
        <w:t>Introduction</w:t>
      </w:r>
    </w:p>
    <w:p>
      <w:r>
        <w:t>Many people pass through beauty without receiving it. A sunrise becomes background, a meal becomes routine, a friendship becomes expected. This hymn slows the church down. It teaches us to name gifts, trace them to God, and answer with worship.</w:t>
      </w:r>
    </w:p>
    <w:p>
      <w:pPr>
        <w:pStyle w:val="Heading1"/>
      </w:pPr>
      <w:r>
        <w:t>1. Creation is not random scenery; it is a gift from the Creator.</w:t>
      </w:r>
    </w:p>
    <w:p>
      <w:r>
        <w:t>Explanation: Genesis 1:31 and Psalm 19 teach that the world bears witness to God’s goodness and glory. The hymn begins with earth and sky because worship often begins with noticing.</w:t>
      </w:r>
    </w:p>
    <w:p>
      <w:r>
        <w:t>Hymn connection: The hymn’s opening movement teaches the congregation to receive the visible world as a summons to praise.</w:t>
      </w:r>
    </w:p>
    <w:p>
      <w:r>
        <w:t>Illustration idea: Ask listeners to recall one scene in creation that helped them remember God’s goodness.</w:t>
      </w:r>
    </w:p>
    <w:p>
      <w:r>
        <w:t>Application: Invite the church to practice holy attention rather than hurried consumption.</w:t>
      </w:r>
    </w:p>
    <w:p>
      <w:pPr>
        <w:pStyle w:val="Heading1"/>
      </w:pPr>
      <w:r>
        <w:t>2. Gratitude includes the ordinary hours of life.</w:t>
      </w:r>
    </w:p>
    <w:p>
      <w:r>
        <w:t>Explanation: Psalm 104 celebrates God’s wisdom in the whole world, not only in spectacular moments. The hymn gives thanks for day and night, hill and valley, tree and flower.</w:t>
      </w:r>
    </w:p>
    <w:p>
      <w:r>
        <w:t>Hymn connection: Pierpoint’s language helps believers find worship in routine moments.</w:t>
      </w:r>
    </w:p>
    <w:p>
      <w:r>
        <w:t>Illustration idea: A person may remember God in a hospital window, a kitchen table, a commute, or a quiet evening.</w:t>
      </w:r>
    </w:p>
    <w:p>
      <w:r>
        <w:t>Application: Call listeners to name daily mercies before they name daily burdens.</w:t>
      </w:r>
    </w:p>
    <w:p>
      <w:pPr>
        <w:pStyle w:val="Heading1"/>
      </w:pPr>
      <w:r>
        <w:t>3. Human love is one of God’s tender gifts.</w:t>
      </w:r>
    </w:p>
    <w:p>
      <w:r>
        <w:t>Explanation: James 1:17 includes gifts that come through people: affection, friendship, family, kindness, and community.</w:t>
      </w:r>
    </w:p>
    <w:p>
      <w:r>
        <w:t>Hymn connection: The hymn moves from the natural world to relationships, showing that love is part of God’s generosity.</w:t>
      </w:r>
    </w:p>
    <w:p>
      <w:r>
        <w:t>Illustration idea: A church meal, a note of encouragement, or a faithful friend may become a sign of grace.</w:t>
      </w:r>
    </w:p>
    <w:p>
      <w:r>
        <w:t>Application: Urge listeners to turn gratitude for people into patience, forgiveness, and service.</w:t>
      </w:r>
    </w:p>
    <w:p>
      <w:pPr>
        <w:pStyle w:val="Heading1"/>
      </w:pPr>
      <w:r>
        <w:t>4. All gifts find their deepest meaning in Christ.</w:t>
      </w:r>
    </w:p>
    <w:p>
      <w:r>
        <w:t>Explanation: Colossians 1:16 teaches that all things were created through Christ and for Christ. Creation’s beauty and human love are not ends in themselves; they point toward him.</w:t>
      </w:r>
    </w:p>
    <w:p>
      <w:r>
        <w:t>Hymn connection: The hymn’s repeated address to the Lord of all gives every blessing a direction: praise.</w:t>
      </w:r>
    </w:p>
    <w:p>
      <w:r>
        <w:t>Illustration idea: A gift is most fully enjoyed when it leads us back to the Giver.</w:t>
      </w:r>
    </w:p>
    <w:p>
      <w:r>
        <w:t>Application: Invite the congregation to receive the world with thankfulness and offer life back to Christ.</w:t>
      </w:r>
    </w:p>
    <w:p>
      <w:pPr>
        <w:pStyle w:val="Heading1"/>
      </w:pPr>
      <w:r>
        <w:t>Christ-Centered Connection</w:t>
      </w:r>
    </w:p>
    <w:p>
      <w:r>
        <w:t>The gifts named in the hymn are not separate from Christ. Scripture teaches that all things were created through him and for him. The greatest gift is not merely the world God made, but the Savior through whom God redeems and renews the world.</w:t>
      </w:r>
    </w:p>
    <w:p>
      <w:pPr>
        <w:pStyle w:val="Heading1"/>
      </w:pPr>
      <w:r>
        <w:t>Pastoral Applications</w:t>
      </w:r>
    </w:p>
    <w:p>
      <w:pPr>
        <w:pStyle w:val="ListBullet"/>
      </w:pPr>
      <w:r>
        <w:t>For the anxious: begin each day by naming one gift before naming one fear.</w:t>
      </w:r>
    </w:p>
    <w:p>
      <w:pPr>
        <w:pStyle w:val="ListBullet"/>
      </w:pPr>
      <w:r>
        <w:t>For the grieving: receive small beauties as signs that God’s goodness has not disappeared.</w:t>
      </w:r>
    </w:p>
    <w:p>
      <w:pPr>
        <w:pStyle w:val="ListBullet"/>
      </w:pPr>
      <w:r>
        <w:t>For the joyful: let delight become praise rather than self-satisfaction.</w:t>
      </w:r>
    </w:p>
    <w:p>
      <w:pPr>
        <w:pStyle w:val="ListBullet"/>
      </w:pPr>
      <w:r>
        <w:t>For the weary: let gratitude become rest, not another burden.</w:t>
      </w:r>
    </w:p>
    <w:p>
      <w:pPr>
        <w:pStyle w:val="ListBullet"/>
      </w:pPr>
      <w:r>
        <w:t>For the serving: honor God’s gifts by caring for people and creation.</w:t>
      </w:r>
    </w:p>
    <w:p>
      <w:pPr>
        <w:pStyle w:val="Heading1"/>
      </w:pPr>
      <w:r>
        <w:t>Conclusion and Call to Response</w:t>
      </w:r>
    </w:p>
    <w:p>
      <w:r>
        <w:t>The hymn teaches a simple but life-changing movement: receive, recognize, and return. Receive the gifts. Recognize the Giver. Return praise to the Lord of all.</w:t>
      </w:r>
    </w:p>
    <w:p>
      <w:pPr>
        <w:pStyle w:val="Heading1"/>
      </w:pPr>
      <w:r>
        <w:t>Suggested Closing Prayer</w:t>
      </w:r>
    </w:p>
    <w:p>
      <w:r>
        <w:t>Generous Father, every good gift comes from you. Make us attentive to your beauty, thankful for your mercy, gentle with one another, and faithful in caring for what you have made. Through Christ our Lord. Amen.</w:t>
      </w:r>
    </w:p>
    <w:p>
      <w:pPr>
        <w:jc w:val="center"/>
      </w:pPr>
      <w:r>
        <w:rPr>
          <w:i/>
          <w:color w:val="5A5A5A"/>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415F3D"/>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795A2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2A3A25"/>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