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112542"/>
          <w:sz w:val="40"/>
        </w:rPr>
        <w:t>All People That on Earth Do Dwell</w:t>
      </w:r>
    </w:p>
    <w:p>
      <w:pPr>
        <w:jc w:val="center"/>
      </w:pPr>
      <w:r>
        <w:rPr>
          <w:rFonts w:ascii="Aptos" w:hAnsi="Aptos"/>
          <w:i/>
          <w:color w:val="77412E"/>
          <w:sz w:val="22"/>
        </w:rPr>
        <w:t>Sermon Outline: The Whole Earth Called to Joyful Praise</w:t>
      </w:r>
    </w:p>
    <w:p>
      <w:pPr>
        <w:jc w:val="center"/>
      </w:pPr>
      <w:r>
        <w:rPr>
          <w:rFonts w:ascii="Aptos" w:hAnsi="Aptos"/>
          <w:color w:val="4B4B4B"/>
          <w:sz w:val="18"/>
        </w:rPr>
        <w:t>Psalm 100 • William Kethe • OLD HUNDREDTH</w:t>
      </w:r>
    </w:p>
    <w:p>
      <w:pPr>
        <w:pStyle w:val="Heading1"/>
        <w:spacing w:before="140" w:after="40"/>
      </w:pPr>
      <w:r>
        <w:rPr>
          <w:rFonts w:ascii="Georgia" w:hAnsi="Georgia"/>
          <w:b/>
          <w:color w:val="112542"/>
          <w:sz w:val="28"/>
        </w:rPr>
        <w:t>Main Text and Supporting Scriptures</w:t>
      </w:r>
    </w:p>
    <w:p>
      <w:pPr>
        <w:spacing w:after="50"/>
        <w:ind w:left="259" w:hanging="259"/>
      </w:pPr>
      <w:r>
        <w:rPr>
          <w:rFonts w:ascii="Aptos" w:hAnsi="Aptos"/>
          <w:sz w:val="19"/>
        </w:rPr>
        <w:t>• Main Text: Psalm 100:1-5</w:t>
      </w:r>
    </w:p>
    <w:p>
      <w:pPr>
        <w:spacing w:after="50"/>
        <w:ind w:left="259" w:hanging="259"/>
      </w:pPr>
      <w:r>
        <w:rPr>
          <w:rFonts w:ascii="Aptos" w:hAnsi="Aptos"/>
          <w:sz w:val="19"/>
        </w:rPr>
        <w:t>• Supporting Scriptures: Psalm 95:1-3; Psalm 150:1-6; Revelation 7:9-12; Philippians 2:10-11</w:t>
      </w:r>
    </w:p>
    <w:p>
      <w:pPr>
        <w:pStyle w:val="Heading1"/>
        <w:spacing w:before="140" w:after="40"/>
      </w:pPr>
      <w:r>
        <w:rPr>
          <w:rFonts w:ascii="Georgia" w:hAnsi="Georgia"/>
          <w:b/>
          <w:color w:val="112542"/>
          <w:sz w:val="28"/>
        </w:rPr>
        <w:t>Big Idea</w:t>
      </w:r>
    </w:p>
    <w:p>
      <w:pPr>
        <w:spacing w:after="80"/>
      </w:pPr>
      <w:r>
        <w:rPr>
          <w:rFonts w:ascii="Aptos" w:hAnsi="Aptos"/>
          <w:sz w:val="19"/>
        </w:rPr>
        <w:t>God summons all people to joyful worship because he made us, shepherds us, receives our thanksgiving, and remains good and faithful through every generation.</w:t>
      </w:r>
    </w:p>
    <w:p>
      <w:pPr>
        <w:pStyle w:val="Heading1"/>
        <w:spacing w:before="140" w:after="40"/>
      </w:pPr>
      <w:r>
        <w:rPr>
          <w:rFonts w:ascii="Georgia" w:hAnsi="Georgia"/>
          <w:b/>
          <w:color w:val="112542"/>
          <w:sz w:val="28"/>
        </w:rPr>
        <w:t>Introduction</w:t>
      </w:r>
    </w:p>
    <w:p>
      <w:pPr>
        <w:spacing w:after="80"/>
      </w:pPr>
      <w:r>
        <w:rPr>
          <w:rFonts w:ascii="Aptos" w:hAnsi="Aptos"/>
          <w:sz w:val="19"/>
        </w:rPr>
        <w:t>Some hymns feel like a doorway. The tune is familiar, the words are simple, and before long the congregation is standing inside the psalm itself. This hymn does that with Psalm 100. It does not begin with our mood or preferences. It begins with God and calls the whole earth to praise him.</w:t>
      </w:r>
    </w:p>
    <w:p>
      <w:pPr>
        <w:pStyle w:val="Heading2"/>
        <w:spacing w:before="80" w:after="40"/>
      </w:pPr>
      <w:r>
        <w:rPr>
          <w:rFonts w:ascii="Georgia" w:hAnsi="Georgia"/>
          <w:b/>
          <w:color w:val="112542"/>
          <w:sz w:val="24"/>
        </w:rPr>
        <w:t>I. Worship Begins with a Universal Call</w:t>
      </w:r>
    </w:p>
    <w:p>
      <w:pPr>
        <w:spacing w:after="80"/>
      </w:pPr>
      <w:r>
        <w:rPr>
          <w:rFonts w:ascii="Aptos" w:hAnsi="Aptos"/>
          <w:sz w:val="19"/>
        </w:rPr>
        <w:t>Explanation: Psalm 100 does not whisper to one small corner of the world. It commands all lands to make a joyful noise to the Lord. Kethe’s hymn preserves that wide invitation and trains the church to hear worship as a summons from God.</w:t>
      </w:r>
    </w:p>
    <w:p>
      <w:pPr>
        <w:spacing w:after="80"/>
      </w:pPr>
      <w:r>
        <w:rPr>
          <w:rFonts w:ascii="Aptos" w:hAnsi="Aptos"/>
          <w:sz w:val="19"/>
        </w:rPr>
        <w:t>Hymn connection: The hymn opens with the earth-wide call of Psalm 100 rather than with private religious feeling.</w:t>
      </w:r>
    </w:p>
    <w:p>
      <w:pPr>
        <w:spacing w:after="80"/>
      </w:pPr>
      <w:r>
        <w:rPr>
          <w:rFonts w:ascii="Aptos" w:hAnsi="Aptos"/>
          <w:sz w:val="19"/>
        </w:rPr>
        <w:t>Biblical support: Psalm 100:1-2; Psalm 150:6; Revelation 7:9-12</w:t>
      </w:r>
    </w:p>
    <w:p>
      <w:pPr>
        <w:spacing w:after="80"/>
      </w:pPr>
      <w:r>
        <w:rPr>
          <w:rFonts w:ascii="Aptos" w:hAnsi="Aptos"/>
          <w:sz w:val="19"/>
        </w:rPr>
        <w:t>Illustration idea: Picture a congregation made up of many ages and backgrounds singing one psalm together.</w:t>
      </w:r>
    </w:p>
    <w:p>
      <w:pPr>
        <w:spacing w:after="80"/>
      </w:pPr>
      <w:r>
        <w:rPr>
          <w:rFonts w:ascii="Aptos" w:hAnsi="Aptos"/>
          <w:sz w:val="19"/>
        </w:rPr>
        <w:t>Application: Call hearers to bring their whole lives into worship and to resist making praise merely a matter of taste.</w:t>
      </w:r>
    </w:p>
    <w:p>
      <w:pPr>
        <w:pStyle w:val="Heading2"/>
        <w:spacing w:before="80" w:after="40"/>
      </w:pPr>
      <w:r>
        <w:rPr>
          <w:rFonts w:ascii="Georgia" w:hAnsi="Georgia"/>
          <w:b/>
          <w:color w:val="112542"/>
          <w:sz w:val="24"/>
        </w:rPr>
        <w:t>II. Worship Confesses Who God Is</w:t>
      </w:r>
    </w:p>
    <w:p>
      <w:pPr>
        <w:spacing w:after="80"/>
      </w:pPr>
      <w:r>
        <w:rPr>
          <w:rFonts w:ascii="Aptos" w:hAnsi="Aptos"/>
          <w:sz w:val="19"/>
        </w:rPr>
        <w:t>Explanation: The psalm tells worshipers to know that the Lord is God. He made us, and we belong to him. Worship becomes steady when it rests on God’s identity, not on the strength of our feelings.</w:t>
      </w:r>
    </w:p>
    <w:p>
      <w:pPr>
        <w:spacing w:after="80"/>
      </w:pPr>
      <w:r>
        <w:rPr>
          <w:rFonts w:ascii="Aptos" w:hAnsi="Aptos"/>
          <w:sz w:val="19"/>
        </w:rPr>
        <w:t>Hymn connection: The hymn’s middle movement confesses God as Maker and Shepherd of his people.</w:t>
      </w:r>
    </w:p>
    <w:p>
      <w:pPr>
        <w:spacing w:after="80"/>
      </w:pPr>
      <w:r>
        <w:rPr>
          <w:rFonts w:ascii="Aptos" w:hAnsi="Aptos"/>
          <w:sz w:val="19"/>
        </w:rPr>
        <w:t>Biblical support: Psalm 100:3; Psalm 95:6-7; John 10:11-16</w:t>
      </w:r>
    </w:p>
    <w:p>
      <w:pPr>
        <w:spacing w:after="80"/>
      </w:pPr>
      <w:r>
        <w:rPr>
          <w:rFonts w:ascii="Aptos" w:hAnsi="Aptos"/>
          <w:sz w:val="19"/>
        </w:rPr>
        <w:t>Illustration idea: A sheep is not self-sufficient; it lives by the shepherd’s care.</w:t>
      </w:r>
    </w:p>
    <w:p>
      <w:pPr>
        <w:spacing w:after="80"/>
      </w:pPr>
      <w:r>
        <w:rPr>
          <w:rFonts w:ascii="Aptos" w:hAnsi="Aptos"/>
          <w:sz w:val="19"/>
        </w:rPr>
        <w:t>Application: Invite anxious, weary, or scattered listeners to remember that they are not self-made and not abandoned.</w:t>
      </w:r>
    </w:p>
    <w:p>
      <w:pPr>
        <w:pStyle w:val="Heading2"/>
        <w:spacing w:before="80" w:after="40"/>
      </w:pPr>
      <w:r>
        <w:rPr>
          <w:rFonts w:ascii="Georgia" w:hAnsi="Georgia"/>
          <w:b/>
          <w:color w:val="112542"/>
          <w:sz w:val="24"/>
        </w:rPr>
        <w:t>III. Worship Enters with Thanksgiving</w:t>
      </w:r>
    </w:p>
    <w:p>
      <w:pPr>
        <w:spacing w:after="80"/>
      </w:pPr>
      <w:r>
        <w:rPr>
          <w:rFonts w:ascii="Aptos" w:hAnsi="Aptos"/>
          <w:sz w:val="19"/>
        </w:rPr>
        <w:t>Explanation: Psalm 100 pictures worshipers entering God’s gates and courts. Thanksgiving is the posture of people who know they are received by a good and faithful Lord.</w:t>
      </w:r>
    </w:p>
    <w:p>
      <w:pPr>
        <w:spacing w:after="80"/>
      </w:pPr>
      <w:r>
        <w:rPr>
          <w:rFonts w:ascii="Aptos" w:hAnsi="Aptos"/>
          <w:sz w:val="19"/>
        </w:rPr>
        <w:t>Hymn connection: The hymn teaches the congregation to come before God with gratitude and blessing.</w:t>
      </w:r>
    </w:p>
    <w:p>
      <w:pPr>
        <w:spacing w:after="80"/>
      </w:pPr>
      <w:r>
        <w:rPr>
          <w:rFonts w:ascii="Aptos" w:hAnsi="Aptos"/>
          <w:sz w:val="19"/>
        </w:rPr>
        <w:t>Biblical support: Psalm 100:4; Psalm 95:2; Hebrews 13:15</w:t>
      </w:r>
    </w:p>
    <w:p>
      <w:pPr>
        <w:spacing w:after="80"/>
      </w:pPr>
      <w:r>
        <w:rPr>
          <w:rFonts w:ascii="Aptos" w:hAnsi="Aptos"/>
          <w:sz w:val="19"/>
        </w:rPr>
        <w:t>Illustration idea: Before a service begins, people carry burdens through the door. Thanksgiving reorients those burdens toward God’s presence.</w:t>
      </w:r>
    </w:p>
    <w:p>
      <w:pPr>
        <w:spacing w:after="80"/>
      </w:pPr>
      <w:r>
        <w:rPr>
          <w:rFonts w:ascii="Aptos" w:hAnsi="Aptos"/>
          <w:sz w:val="19"/>
        </w:rPr>
        <w:t>Application: Ask the congregation to name God’s mercies before naming their complaints.</w:t>
      </w:r>
    </w:p>
    <w:p>
      <w:pPr>
        <w:pStyle w:val="Heading2"/>
        <w:spacing w:before="80" w:after="40"/>
      </w:pPr>
      <w:r>
        <w:rPr>
          <w:rFonts w:ascii="Georgia" w:hAnsi="Georgia"/>
          <w:b/>
          <w:color w:val="112542"/>
          <w:sz w:val="24"/>
        </w:rPr>
        <w:t>IV. Worship Rests on God’s Enduring Mercy</w:t>
      </w:r>
    </w:p>
    <w:p>
      <w:pPr>
        <w:spacing w:after="80"/>
      </w:pPr>
      <w:r>
        <w:rPr>
          <w:rFonts w:ascii="Aptos" w:hAnsi="Aptos"/>
          <w:sz w:val="19"/>
        </w:rPr>
        <w:t>Explanation: The psalm ends with the reason for all worship: the Lord is good, his loving kindness endures, and his faithfulness reaches every generation. Praise is sustained by God’s character.</w:t>
      </w:r>
    </w:p>
    <w:p>
      <w:pPr>
        <w:spacing w:after="80"/>
      </w:pPr>
      <w:r>
        <w:rPr>
          <w:rFonts w:ascii="Aptos" w:hAnsi="Aptos"/>
          <w:sz w:val="19"/>
        </w:rPr>
        <w:t>Hymn connection: The hymn closes with confidence that God’s mercy and truth do not fail with time.</w:t>
      </w:r>
    </w:p>
    <w:p>
      <w:pPr>
        <w:spacing w:after="80"/>
      </w:pPr>
      <w:r>
        <w:rPr>
          <w:rFonts w:ascii="Aptos" w:hAnsi="Aptos"/>
          <w:sz w:val="19"/>
        </w:rPr>
        <w:t>Biblical support: Psalm 100:5; Lamentations 3:22-23; Philippians 2:10-11</w:t>
      </w:r>
    </w:p>
    <w:p>
      <w:pPr>
        <w:spacing w:after="80"/>
      </w:pPr>
      <w:r>
        <w:rPr>
          <w:rFonts w:ascii="Aptos" w:hAnsi="Aptos"/>
          <w:sz w:val="19"/>
        </w:rPr>
        <w:t>Illustration idea: A familiar hymn can carry faith from grandparents to children because God’s faithfulness is larger than one generation.</w:t>
      </w:r>
    </w:p>
    <w:p>
      <w:pPr>
        <w:spacing w:after="80"/>
      </w:pPr>
      <w:r>
        <w:rPr>
          <w:rFonts w:ascii="Aptos" w:hAnsi="Aptos"/>
          <w:sz w:val="19"/>
        </w:rPr>
        <w:t>Application: Comfort the grieving, steady the doubtful, and encourage the hopeful with God’s unfailing mercy.</w:t>
      </w:r>
    </w:p>
    <w:p>
      <w:pPr>
        <w:pStyle w:val="Heading1"/>
        <w:spacing w:before="140" w:after="40"/>
      </w:pPr>
      <w:r>
        <w:rPr>
          <w:rFonts w:ascii="Georgia" w:hAnsi="Georgia"/>
          <w:b/>
          <w:color w:val="112542"/>
          <w:sz w:val="28"/>
        </w:rPr>
        <w:t>Christ-Centered Connection</w:t>
      </w:r>
    </w:p>
    <w:p>
      <w:pPr>
        <w:spacing w:after="80"/>
      </w:pPr>
      <w:r>
        <w:rPr>
          <w:rFonts w:ascii="Aptos" w:hAnsi="Aptos"/>
          <w:sz w:val="19"/>
        </w:rPr>
        <w:t>Psalm 100 summons the earth to worship the Lord. In the fullness of God’s revelation, the nations gather before God and the Lamb, and every tongue confesses that Jesus Christ is Lord. The Shepherd who gathers God’s people is also the Savior who lays down his life for the sheep.</w:t>
      </w:r>
    </w:p>
    <w:p>
      <w:pPr>
        <w:pStyle w:val="Heading1"/>
        <w:spacing w:before="140" w:after="40"/>
      </w:pPr>
      <w:r>
        <w:rPr>
          <w:rFonts w:ascii="Georgia" w:hAnsi="Georgia"/>
          <w:b/>
          <w:color w:val="112542"/>
          <w:sz w:val="28"/>
        </w:rPr>
        <w:t>Pastoral Applications</w:t>
      </w:r>
    </w:p>
    <w:p>
      <w:pPr>
        <w:spacing w:after="50"/>
        <w:ind w:left="259" w:hanging="259"/>
      </w:pPr>
      <w:r>
        <w:rPr>
          <w:rFonts w:ascii="Aptos" w:hAnsi="Aptos"/>
          <w:sz w:val="19"/>
        </w:rPr>
        <w:t>• To the weary: worship is not powered by your energy but by God’s worthiness.</w:t>
      </w:r>
    </w:p>
    <w:p>
      <w:pPr>
        <w:spacing w:after="50"/>
        <w:ind w:left="259" w:hanging="259"/>
      </w:pPr>
      <w:r>
        <w:rPr>
          <w:rFonts w:ascii="Aptos" w:hAnsi="Aptos"/>
          <w:sz w:val="19"/>
        </w:rPr>
        <w:t>• To the anxious: you belong to the Shepherd who knows and keeps his flock.</w:t>
      </w:r>
    </w:p>
    <w:p>
      <w:pPr>
        <w:spacing w:after="50"/>
        <w:ind w:left="259" w:hanging="259"/>
      </w:pPr>
      <w:r>
        <w:rPr>
          <w:rFonts w:ascii="Aptos" w:hAnsi="Aptos"/>
          <w:sz w:val="19"/>
        </w:rPr>
        <w:t>• To the joyful: let praise become glad service rather than mere feeling.</w:t>
      </w:r>
    </w:p>
    <w:p>
      <w:pPr>
        <w:spacing w:after="50"/>
        <w:ind w:left="259" w:hanging="259"/>
      </w:pPr>
      <w:r>
        <w:rPr>
          <w:rFonts w:ascii="Aptos" w:hAnsi="Aptos"/>
          <w:sz w:val="19"/>
        </w:rPr>
        <w:t>• To the grieving: God’s mercy holds through generations and beyond death.</w:t>
      </w:r>
    </w:p>
    <w:p>
      <w:pPr>
        <w:spacing w:after="50"/>
        <w:ind w:left="259" w:hanging="259"/>
      </w:pPr>
      <w:r>
        <w:rPr>
          <w:rFonts w:ascii="Aptos" w:hAnsi="Aptos"/>
          <w:sz w:val="19"/>
        </w:rPr>
        <w:t>• To the church: begin worship with thanksgiving, and carry that gratitude into mission.</w:t>
      </w:r>
    </w:p>
    <w:p>
      <w:pPr>
        <w:pStyle w:val="Heading1"/>
        <w:spacing w:before="140" w:after="40"/>
      </w:pPr>
      <w:r>
        <w:rPr>
          <w:rFonts w:ascii="Georgia" w:hAnsi="Georgia"/>
          <w:b/>
          <w:color w:val="112542"/>
          <w:sz w:val="28"/>
        </w:rPr>
        <w:t>Conclusion and Call to Response</w:t>
      </w:r>
    </w:p>
    <w:p>
      <w:pPr>
        <w:spacing w:after="80"/>
      </w:pPr>
      <w:r>
        <w:rPr>
          <w:rFonts w:ascii="Aptos" w:hAnsi="Aptos"/>
          <w:sz w:val="19"/>
        </w:rPr>
        <w:t>The hymn does not ask the church to manufacture praise. It places the church inside Psalm 100 and tells us why praise is fitting: the Lord is God, he made us, we are his, and his mercy endures. Come with joy. Serve with gladness. Enter with thanksgiving. Bless his name.</w:t>
      </w:r>
    </w:p>
    <w:p>
      <w:pPr>
        <w:pStyle w:val="Heading1"/>
        <w:spacing w:before="140" w:after="40"/>
      </w:pPr>
      <w:r>
        <w:rPr>
          <w:rFonts w:ascii="Georgia" w:hAnsi="Georgia"/>
          <w:b/>
          <w:color w:val="112542"/>
          <w:sz w:val="28"/>
        </w:rPr>
        <w:t>Suggested Closing Prayer</w:t>
      </w:r>
    </w:p>
    <w:p>
      <w:pPr>
        <w:spacing w:after="80"/>
      </w:pPr>
      <w:r>
        <w:rPr>
          <w:rFonts w:ascii="Aptos" w:hAnsi="Aptos"/>
          <w:sz w:val="19"/>
        </w:rPr>
        <w:t>Lord God, you made us and claimed us as your own. Give us joyful praise, glad service, thankful hearts, and confidence in your enduring mercy. Gather all peoples before you in worship, through Jesus Christ our Lord. Amen.</w:t>
      </w:r>
    </w:p>
    <w:p>
      <w:pPr>
        <w:jc w:val="center"/>
      </w:pPr>
      <w:r>
        <w:rPr>
          <w:rFonts w:ascii="Aptos" w:hAnsi="Aptos"/>
          <w:i/>
          <w:color w:val="5A5A5A"/>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05050"/>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112542"/>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112542"/>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b/>
      <w:bCs/>
      <w:color w:val="112542"/>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112542"/>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People That on Earth Do Dwell Sermon Outline</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