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112542"/>
          <w:sz w:val="40"/>
        </w:rPr>
        <w:t>All People That on Earth Do Dwell</w:t>
      </w:r>
    </w:p>
    <w:p>
      <w:pPr>
        <w:jc w:val="center"/>
      </w:pPr>
      <w:r>
        <w:rPr>
          <w:rFonts w:ascii="Aptos" w:hAnsi="Aptos"/>
          <w:i/>
          <w:color w:val="77412E"/>
          <w:sz w:val="22"/>
        </w:rPr>
        <w:t>Small Group Handout: Worship, Thanksgiving, and the People of God</w:t>
      </w:r>
    </w:p>
    <w:p>
      <w:pPr>
        <w:jc w:val="center"/>
      </w:pPr>
      <w:r>
        <w:rPr>
          <w:rFonts w:ascii="Aptos" w:hAnsi="Aptos"/>
          <w:color w:val="4B4B4B"/>
          <w:sz w:val="18"/>
        </w:rPr>
        <w:t>Psalm 100 • William Kethe • OLD HUNDREDTH</w:t>
      </w:r>
    </w:p>
    <w:p>
      <w:pPr>
        <w:pStyle w:val="Heading1"/>
        <w:spacing w:before="140" w:after="40"/>
      </w:pPr>
      <w:r>
        <w:rPr>
          <w:rFonts w:ascii="Georgia" w:hAnsi="Georgia"/>
          <w:b/>
          <w:color w:val="112542"/>
          <w:sz w:val="28"/>
        </w:rPr>
        <w:t>Purpose of the Study</w:t>
      </w:r>
    </w:p>
    <w:p>
      <w:pPr>
        <w:spacing w:after="80"/>
      </w:pPr>
      <w:r>
        <w:rPr>
          <w:rFonts w:ascii="Aptos" w:hAnsi="Aptos"/>
          <w:sz w:val="19"/>
        </w:rPr>
        <w:t>This study helps a group read Psalm 100 through one of the church’s most durable metrical psalms. The goal is to move from familiar words and tune into joyful worship, grateful belonging, and glad service.</w:t>
      </w:r>
    </w:p>
    <w:p>
      <w:pPr>
        <w:pStyle w:val="Heading1"/>
        <w:spacing w:before="140" w:after="40"/>
      </w:pPr>
      <w:r>
        <w:rPr>
          <w:rFonts w:ascii="Georgia" w:hAnsi="Georgia"/>
          <w:b/>
          <w:color w:val="112542"/>
          <w:sz w:val="28"/>
        </w:rPr>
        <w:t>Opening Reflection</w:t>
      </w:r>
    </w:p>
    <w:p>
      <w:pPr>
        <w:spacing w:after="50"/>
        <w:ind w:left="259" w:hanging="259"/>
      </w:pPr>
      <w:r>
        <w:rPr>
          <w:rFonts w:ascii="Aptos" w:hAnsi="Aptos"/>
          <w:sz w:val="19"/>
        </w:rPr>
        <w:t>• When you hear a familiar tune in worship, what memories or convictions come with it?</w:t>
      </w:r>
    </w:p>
    <w:p>
      <w:pPr>
        <w:spacing w:after="50"/>
        <w:ind w:left="259" w:hanging="259"/>
      </w:pPr>
      <w:r>
        <w:rPr>
          <w:rFonts w:ascii="Aptos" w:hAnsi="Aptos"/>
          <w:sz w:val="19"/>
        </w:rPr>
        <w:t>• What helps you come to worship with gladness rather than distraction?</w:t>
      </w:r>
    </w:p>
    <w:p>
      <w:pPr>
        <w:spacing w:after="50"/>
        <w:ind w:left="259" w:hanging="259"/>
      </w:pPr>
      <w:r>
        <w:rPr>
          <w:rFonts w:ascii="Aptos" w:hAnsi="Aptos"/>
          <w:sz w:val="19"/>
        </w:rPr>
        <w:t>• Where do you most need to remember that you belong to the Lord?</w:t>
      </w:r>
    </w:p>
    <w:p>
      <w:pPr>
        <w:pStyle w:val="Heading1"/>
        <w:spacing w:before="140" w:after="40"/>
      </w:pPr>
      <w:r>
        <w:rPr>
          <w:rFonts w:ascii="Georgia" w:hAnsi="Georgia"/>
          <w:b/>
          <w:color w:val="112542"/>
          <w:sz w:val="28"/>
        </w:rPr>
        <w:t>Brief Hymn Background</w:t>
      </w:r>
    </w:p>
    <w:p>
      <w:pPr>
        <w:spacing w:after="80"/>
      </w:pPr>
      <w:r>
        <w:rPr>
          <w:rFonts w:ascii="Aptos" w:hAnsi="Aptos"/>
          <w:sz w:val="19"/>
        </w:rPr>
        <w:t>William Kethe’s paraphrase of Psalm 100 appeared in Geneva in 1561 within the English-speaking Reformed psalm-singing tradition. The tune OLD HUNDREDTH comes from the Genevan Psalter tradition and is commonly associated with Louis Bourgeois. The tune later became one of the best-known melodies in Christian worship.</w:t>
      </w:r>
    </w:p>
    <w:p>
      <w:pPr>
        <w:spacing w:after="80"/>
      </w:pPr>
      <w:r>
        <w:rPr>
          <w:rFonts w:ascii="Aptos" w:hAnsi="Aptos"/>
          <w:sz w:val="19"/>
        </w:rPr>
        <w:t>The hymn follows Psalm 100 closely: a call to all the earth, a confession that the Lord made and shepherds his people, an invitation into worship with thanksgiving, and a final declaration of God’s enduring goodness and faithfulness.</w:t>
      </w:r>
    </w:p>
    <w:p>
      <w:pPr>
        <w:pStyle w:val="Heading1"/>
        <w:spacing w:before="140" w:after="40"/>
      </w:pPr>
      <w:r>
        <w:rPr>
          <w:rFonts w:ascii="Georgia" w:hAnsi="Georgia"/>
          <w:b/>
          <w:color w:val="112542"/>
          <w:sz w:val="28"/>
        </w:rPr>
        <w:t>Primary Scripture and Supporting Passages</w:t>
      </w:r>
    </w:p>
    <w:p>
      <w:pPr>
        <w:spacing w:after="50"/>
        <w:ind w:left="259" w:hanging="259"/>
      </w:pPr>
      <w:r>
        <w:rPr>
          <w:rFonts w:ascii="Aptos" w:hAnsi="Aptos"/>
          <w:sz w:val="19"/>
        </w:rPr>
        <w:t>• Psalm 100:1-5 - the direct foundation of the hymn.</w:t>
      </w:r>
    </w:p>
    <w:p>
      <w:pPr>
        <w:spacing w:after="50"/>
        <w:ind w:left="259" w:hanging="259"/>
      </w:pPr>
      <w:r>
        <w:rPr>
          <w:rFonts w:ascii="Aptos" w:hAnsi="Aptos"/>
          <w:sz w:val="19"/>
        </w:rPr>
        <w:t>• Psalm 95:1-3 - joyful singing and thanksgiving before the Lord.</w:t>
      </w:r>
    </w:p>
    <w:p>
      <w:pPr>
        <w:spacing w:after="50"/>
        <w:ind w:left="259" w:hanging="259"/>
      </w:pPr>
      <w:r>
        <w:rPr>
          <w:rFonts w:ascii="Aptos" w:hAnsi="Aptos"/>
          <w:sz w:val="19"/>
        </w:rPr>
        <w:t>• Psalm 150:1-6 - all creation summoned to praise.</w:t>
      </w:r>
    </w:p>
    <w:p>
      <w:pPr>
        <w:spacing w:after="50"/>
        <w:ind w:left="259" w:hanging="259"/>
      </w:pPr>
      <w:r>
        <w:rPr>
          <w:rFonts w:ascii="Aptos" w:hAnsi="Aptos"/>
          <w:sz w:val="19"/>
        </w:rPr>
        <w:t>• Revelation 7:9-12 - the nations gathered before God and the Lamb.</w:t>
      </w:r>
    </w:p>
    <w:p>
      <w:pPr>
        <w:spacing w:after="50"/>
        <w:ind w:left="259" w:hanging="259"/>
      </w:pPr>
      <w:r>
        <w:rPr>
          <w:rFonts w:ascii="Aptos" w:hAnsi="Aptos"/>
          <w:sz w:val="19"/>
        </w:rPr>
        <w:t>• Philippians 2:10-11 - every knee and every tongue confessing Christ as Lord.</w:t>
      </w:r>
    </w:p>
    <w:p>
      <w:pPr>
        <w:pStyle w:val="Heading1"/>
        <w:spacing w:before="140" w:after="40"/>
      </w:pPr>
      <w:r>
        <w:rPr>
          <w:rFonts w:ascii="Georgia" w:hAnsi="Georgia"/>
          <w:b/>
          <w:color w:val="112542"/>
          <w:sz w:val="28"/>
        </w:rPr>
        <w:t>Hymn Section Study</w:t>
      </w:r>
    </w:p>
    <w:tbl>
      <w:tblPr>
        <w:tblStyle w:val="TableGrid"/>
        <w:tblW w:type="auto" w:w="0"/>
        <w:jc w:val="center"/>
        <w:tblLook w:firstColumn="1" w:firstRow="1" w:lastColumn="0" w:lastRow="0" w:noHBand="0" w:noVBand="1" w:val="04A0"/>
      </w:tblPr>
      <w:tblGrid>
        <w:gridCol w:w="3485"/>
        <w:gridCol w:w="3485"/>
        <w:gridCol w:w="3485"/>
      </w:tblGrid>
      <w:tr>
        <w:tc>
          <w:tcPr>
            <w:tcW w:type="dxa" w:w="3485"/>
            <w:shd w:fill="1E3A60"/>
            <w:vAlign w:val="center"/>
          </w:tcPr>
          <w:p>
            <w:r/>
            <w:r>
              <w:rPr>
                <w:rFonts w:ascii="Aptos" w:hAnsi="Aptos"/>
                <w:b/>
                <w:color w:val="FFFFFF"/>
                <w:sz w:val="17"/>
              </w:rPr>
              <w:t>Hymn Movement</w:t>
            </w:r>
          </w:p>
        </w:tc>
        <w:tc>
          <w:tcPr>
            <w:tcW w:type="dxa" w:w="3485"/>
            <w:shd w:fill="1E3A60"/>
            <w:vAlign w:val="center"/>
          </w:tcPr>
          <w:p>
            <w:r/>
            <w:r>
              <w:rPr>
                <w:rFonts w:ascii="Aptos" w:hAnsi="Aptos"/>
                <w:b/>
                <w:color w:val="FFFFFF"/>
                <w:sz w:val="17"/>
              </w:rPr>
              <w:t>Plain-Language Meaning</w:t>
            </w:r>
          </w:p>
        </w:tc>
        <w:tc>
          <w:tcPr>
            <w:tcW w:type="dxa" w:w="3485"/>
            <w:shd w:fill="1E3A60"/>
            <w:vAlign w:val="center"/>
          </w:tcPr>
          <w:p>
            <w:r/>
            <w:r>
              <w:rPr>
                <w:rFonts w:ascii="Aptos" w:hAnsi="Aptos"/>
                <w:b/>
                <w:color w:val="FFFFFF"/>
                <w:sz w:val="17"/>
              </w:rPr>
              <w:t>Scripture Link</w:t>
            </w:r>
          </w:p>
        </w:tc>
      </w:tr>
      <w:tr>
        <w:tc>
          <w:tcPr>
            <w:tcW w:type="dxa" w:w="3485"/>
            <w:vAlign w:val="center"/>
          </w:tcPr>
          <w:p>
            <w:r/>
            <w:r>
              <w:rPr>
                <w:rFonts w:ascii="Aptos" w:hAnsi="Aptos"/>
                <w:b w:val="0"/>
                <w:color w:val="111111"/>
                <w:sz w:val="16"/>
              </w:rPr>
              <w:t>All the earth called to praise</w:t>
            </w:r>
          </w:p>
        </w:tc>
        <w:tc>
          <w:tcPr>
            <w:tcW w:type="dxa" w:w="3485"/>
            <w:vAlign w:val="center"/>
          </w:tcPr>
          <w:p>
            <w:r/>
            <w:r>
              <w:rPr>
                <w:rFonts w:ascii="Aptos" w:hAnsi="Aptos"/>
                <w:b w:val="0"/>
                <w:color w:val="111111"/>
                <w:sz w:val="16"/>
              </w:rPr>
              <w:t>Worship is bigger than one place, culture, or generation.</w:t>
            </w:r>
          </w:p>
        </w:tc>
        <w:tc>
          <w:tcPr>
            <w:tcW w:type="dxa" w:w="3485"/>
            <w:vAlign w:val="center"/>
          </w:tcPr>
          <w:p>
            <w:r/>
            <w:r>
              <w:rPr>
                <w:rFonts w:ascii="Aptos" w:hAnsi="Aptos"/>
                <w:b w:val="0"/>
                <w:color w:val="111111"/>
                <w:sz w:val="16"/>
              </w:rPr>
              <w:t>Psalm 100:1-2; Psalm 150:6</w:t>
            </w:r>
          </w:p>
        </w:tc>
      </w:tr>
      <w:tr>
        <w:tc>
          <w:tcPr>
            <w:tcW w:type="dxa" w:w="3485"/>
            <w:vAlign w:val="center"/>
          </w:tcPr>
          <w:p>
            <w:r/>
            <w:r>
              <w:rPr>
                <w:rFonts w:ascii="Aptos" w:hAnsi="Aptos"/>
                <w:b w:val="0"/>
                <w:color w:val="111111"/>
                <w:sz w:val="16"/>
              </w:rPr>
              <w:t>God made and shepherds us</w:t>
            </w:r>
          </w:p>
        </w:tc>
        <w:tc>
          <w:tcPr>
            <w:tcW w:type="dxa" w:w="3485"/>
            <w:vAlign w:val="center"/>
          </w:tcPr>
          <w:p>
            <w:r/>
            <w:r>
              <w:rPr>
                <w:rFonts w:ascii="Aptos" w:hAnsi="Aptos"/>
                <w:b w:val="0"/>
                <w:color w:val="111111"/>
                <w:sz w:val="16"/>
              </w:rPr>
              <w:t>We come as people who belong to God and depend on his care.</w:t>
            </w:r>
          </w:p>
        </w:tc>
        <w:tc>
          <w:tcPr>
            <w:tcW w:type="dxa" w:w="3485"/>
            <w:vAlign w:val="center"/>
          </w:tcPr>
          <w:p>
            <w:r/>
            <w:r>
              <w:rPr>
                <w:rFonts w:ascii="Aptos" w:hAnsi="Aptos"/>
                <w:b w:val="0"/>
                <w:color w:val="111111"/>
                <w:sz w:val="16"/>
              </w:rPr>
              <w:t>Psalm 100:3</w:t>
            </w:r>
          </w:p>
        </w:tc>
      </w:tr>
      <w:tr>
        <w:tc>
          <w:tcPr>
            <w:tcW w:type="dxa" w:w="3485"/>
            <w:vAlign w:val="center"/>
          </w:tcPr>
          <w:p>
            <w:r/>
            <w:r>
              <w:rPr>
                <w:rFonts w:ascii="Aptos" w:hAnsi="Aptos"/>
                <w:b w:val="0"/>
                <w:color w:val="111111"/>
                <w:sz w:val="16"/>
              </w:rPr>
              <w:t>Entering with thanksgiving</w:t>
            </w:r>
          </w:p>
        </w:tc>
        <w:tc>
          <w:tcPr>
            <w:tcW w:type="dxa" w:w="3485"/>
            <w:vAlign w:val="center"/>
          </w:tcPr>
          <w:p>
            <w:r/>
            <w:r>
              <w:rPr>
                <w:rFonts w:ascii="Aptos" w:hAnsi="Aptos"/>
                <w:b w:val="0"/>
                <w:color w:val="111111"/>
                <w:sz w:val="16"/>
              </w:rPr>
              <w:t>Gratitude is the doorway into rightly ordered worship.</w:t>
            </w:r>
          </w:p>
        </w:tc>
        <w:tc>
          <w:tcPr>
            <w:tcW w:type="dxa" w:w="3485"/>
            <w:vAlign w:val="center"/>
          </w:tcPr>
          <w:p>
            <w:r/>
            <w:r>
              <w:rPr>
                <w:rFonts w:ascii="Aptos" w:hAnsi="Aptos"/>
                <w:b w:val="0"/>
                <w:color w:val="111111"/>
                <w:sz w:val="16"/>
              </w:rPr>
              <w:t>Psalm 100:4</w:t>
            </w:r>
          </w:p>
        </w:tc>
      </w:tr>
      <w:tr>
        <w:tc>
          <w:tcPr>
            <w:tcW w:type="dxa" w:w="3485"/>
            <w:vAlign w:val="center"/>
          </w:tcPr>
          <w:p>
            <w:r/>
            <w:r>
              <w:rPr>
                <w:rFonts w:ascii="Aptos" w:hAnsi="Aptos"/>
                <w:b w:val="0"/>
                <w:color w:val="111111"/>
                <w:sz w:val="16"/>
              </w:rPr>
              <w:t>God’s mercy endures</w:t>
            </w:r>
          </w:p>
        </w:tc>
        <w:tc>
          <w:tcPr>
            <w:tcW w:type="dxa" w:w="3485"/>
            <w:vAlign w:val="center"/>
          </w:tcPr>
          <w:p>
            <w:r/>
            <w:r>
              <w:rPr>
                <w:rFonts w:ascii="Aptos" w:hAnsi="Aptos"/>
                <w:b w:val="0"/>
                <w:color w:val="111111"/>
                <w:sz w:val="16"/>
              </w:rPr>
              <w:t>Praise rests on God’s goodness, steadfast mercy, and faithfulness.</w:t>
            </w:r>
          </w:p>
        </w:tc>
        <w:tc>
          <w:tcPr>
            <w:tcW w:type="dxa" w:w="3485"/>
            <w:vAlign w:val="center"/>
          </w:tcPr>
          <w:p>
            <w:r/>
            <w:r>
              <w:rPr>
                <w:rFonts w:ascii="Aptos" w:hAnsi="Aptos"/>
                <w:b w:val="0"/>
                <w:color w:val="111111"/>
                <w:sz w:val="16"/>
              </w:rPr>
              <w:t>Psalm 100:5</w:t>
            </w:r>
          </w:p>
        </w:tc>
      </w:tr>
    </w:tbl>
    <w:p>
      <w:pPr>
        <w:pStyle w:val="Heading1"/>
        <w:spacing w:before="140" w:after="40"/>
      </w:pPr>
      <w:r>
        <w:rPr>
          <w:rFonts w:ascii="Georgia" w:hAnsi="Georgia"/>
          <w:b/>
          <w:color w:val="112542"/>
          <w:sz w:val="28"/>
        </w:rPr>
        <w:t>Discussion Questions</w:t>
      </w:r>
    </w:p>
    <w:p>
      <w:pPr>
        <w:spacing w:after="50"/>
        <w:ind w:left="259" w:hanging="259"/>
      </w:pPr>
      <w:r>
        <w:rPr>
          <w:rFonts w:ascii="Aptos" w:hAnsi="Aptos"/>
          <w:sz w:val="19"/>
        </w:rPr>
        <w:t>• What does the hymn teach us to know before it teaches us what to do?</w:t>
      </w:r>
    </w:p>
    <w:p>
      <w:pPr>
        <w:spacing w:after="50"/>
        <w:ind w:left="259" w:hanging="259"/>
      </w:pPr>
      <w:r>
        <w:rPr>
          <w:rFonts w:ascii="Aptos" w:hAnsi="Aptos"/>
          <w:sz w:val="19"/>
        </w:rPr>
        <w:t>• How does the phrase “all people” broaden our view of worship?</w:t>
      </w:r>
    </w:p>
    <w:p>
      <w:pPr>
        <w:spacing w:after="50"/>
        <w:ind w:left="259" w:hanging="259"/>
      </w:pPr>
      <w:r>
        <w:rPr>
          <w:rFonts w:ascii="Aptos" w:hAnsi="Aptos"/>
          <w:sz w:val="19"/>
        </w:rPr>
        <w:t>• What difference does it make to worship as the sheep of God’s pasture?</w:t>
      </w:r>
    </w:p>
    <w:p>
      <w:pPr>
        <w:spacing w:after="50"/>
        <w:ind w:left="259" w:hanging="259"/>
      </w:pPr>
      <w:r>
        <w:rPr>
          <w:rFonts w:ascii="Aptos" w:hAnsi="Aptos"/>
          <w:sz w:val="19"/>
        </w:rPr>
        <w:t>• Why is thanksgiving more than a feeling in Psalm 100?</w:t>
      </w:r>
    </w:p>
    <w:p>
      <w:pPr>
        <w:spacing w:after="50"/>
        <w:ind w:left="259" w:hanging="259"/>
      </w:pPr>
      <w:r>
        <w:rPr>
          <w:rFonts w:ascii="Aptos" w:hAnsi="Aptos"/>
          <w:sz w:val="19"/>
        </w:rPr>
        <w:t>• How can a congregation serve the Lord with gladness during the week?</w:t>
      </w:r>
    </w:p>
    <w:p>
      <w:pPr>
        <w:spacing w:after="50"/>
        <w:ind w:left="259" w:hanging="259"/>
      </w:pPr>
      <w:r>
        <w:rPr>
          <w:rFonts w:ascii="Aptos" w:hAnsi="Aptos"/>
          <w:sz w:val="19"/>
        </w:rPr>
        <w:t>• What does God’s faithfulness “from age to age” mean for children, parents, and older believers?</w:t>
      </w:r>
    </w:p>
    <w:p>
      <w:pPr>
        <w:spacing w:after="50"/>
        <w:ind w:left="259" w:hanging="259"/>
      </w:pPr>
      <w:r>
        <w:rPr>
          <w:rFonts w:ascii="Aptos" w:hAnsi="Aptos"/>
          <w:sz w:val="19"/>
        </w:rPr>
        <w:t>• Where does Revelation 7 help you see the future of praise?</w:t>
      </w:r>
    </w:p>
    <w:p>
      <w:pPr>
        <w:spacing w:after="50"/>
        <w:ind w:left="259" w:hanging="259"/>
      </w:pPr>
      <w:r>
        <w:rPr>
          <w:rFonts w:ascii="Aptos" w:hAnsi="Aptos"/>
          <w:sz w:val="19"/>
        </w:rPr>
        <w:t>• How might this hymn shape the way your church begins worship?</w:t>
      </w:r>
    </w:p>
    <w:p>
      <w:pPr>
        <w:pStyle w:val="Heading1"/>
        <w:spacing w:before="140" w:after="40"/>
      </w:pPr>
      <w:r>
        <w:rPr>
          <w:rFonts w:ascii="Georgia" w:hAnsi="Georgia"/>
          <w:b/>
          <w:color w:val="112542"/>
          <w:sz w:val="28"/>
        </w:rPr>
        <w:t>Practice This Week</w:t>
      </w:r>
    </w:p>
    <w:p>
      <w:pPr>
        <w:spacing w:after="50"/>
        <w:ind w:left="259" w:hanging="259"/>
      </w:pPr>
      <w:r>
        <w:rPr>
          <w:rFonts w:ascii="Aptos" w:hAnsi="Aptos"/>
          <w:sz w:val="19"/>
        </w:rPr>
        <w:t>• Read Psalm 100 each morning and name one reason to thank God.</w:t>
      </w:r>
    </w:p>
    <w:p>
      <w:pPr>
        <w:spacing w:after="50"/>
        <w:ind w:left="259" w:hanging="259"/>
      </w:pPr>
      <w:r>
        <w:rPr>
          <w:rFonts w:ascii="Aptos" w:hAnsi="Aptos"/>
          <w:sz w:val="19"/>
        </w:rPr>
        <w:t>• Pray for one person from another generation in your church.</w:t>
      </w:r>
    </w:p>
    <w:p>
      <w:pPr>
        <w:spacing w:after="50"/>
        <w:ind w:left="259" w:hanging="259"/>
      </w:pPr>
      <w:r>
        <w:rPr>
          <w:rFonts w:ascii="Aptos" w:hAnsi="Aptos"/>
          <w:sz w:val="19"/>
        </w:rPr>
        <w:t>• Practice one act of glad service that no one needs to notice.</w:t>
      </w:r>
    </w:p>
    <w:p>
      <w:pPr>
        <w:spacing w:after="50"/>
        <w:ind w:left="259" w:hanging="259"/>
      </w:pPr>
      <w:r>
        <w:rPr>
          <w:rFonts w:ascii="Aptos" w:hAnsi="Aptos"/>
          <w:sz w:val="19"/>
        </w:rPr>
        <w:t>• Before Sunday worship, pause at the door and ask God for a grateful heart.</w:t>
      </w:r>
    </w:p>
    <w:p>
      <w:pPr>
        <w:pStyle w:val="Heading1"/>
        <w:spacing w:before="140" w:after="40"/>
      </w:pPr>
      <w:r>
        <w:rPr>
          <w:rFonts w:ascii="Georgia" w:hAnsi="Georgia"/>
          <w:b/>
          <w:color w:val="112542"/>
          <w:sz w:val="28"/>
        </w:rPr>
        <w:t>Optional Leader Notes</w:t>
      </w:r>
    </w:p>
    <w:p>
      <w:pPr>
        <w:spacing w:after="80"/>
      </w:pPr>
      <w:r>
        <w:rPr>
          <w:rFonts w:ascii="Aptos" w:hAnsi="Aptos"/>
          <w:sz w:val="19"/>
        </w:rPr>
        <w:t>Keep the discussion anchored in Psalm 100. The hymn is a doorway into the psalm’s theology: God is Creator, Shepherd, good, merciful, and faithful. Encourage concrete applications in worship preparation, church community, and daily service.</w:t>
      </w:r>
    </w:p>
    <w:p>
      <w:pPr>
        <w:pStyle w:val="Heading1"/>
        <w:spacing w:before="140" w:after="40"/>
      </w:pPr>
      <w:r>
        <w:rPr>
          <w:rFonts w:ascii="Georgia" w:hAnsi="Georgia"/>
          <w:b/>
          <w:color w:val="112542"/>
          <w:sz w:val="28"/>
        </w:rPr>
        <w:t>Closing Prayer</w:t>
      </w:r>
    </w:p>
    <w:p>
      <w:pPr>
        <w:spacing w:after="80"/>
      </w:pPr>
      <w:r>
        <w:rPr>
          <w:rFonts w:ascii="Aptos" w:hAnsi="Aptos"/>
          <w:sz w:val="19"/>
        </w:rPr>
        <w:t>Lord, gather our hearts to praise you with joy. Teach us to serve you gladly, to enter your presence with thanksgiving, and to rest in your mercy through every generation. Amen.</w:t>
      </w:r>
    </w:p>
    <w:p>
      <w:pPr>
        <w:jc w:val="center"/>
      </w:pPr>
      <w:r>
        <w:rPr>
          <w:rFonts w:ascii="Aptos" w:hAnsi="Aptos"/>
          <w:i/>
          <w:color w:val="5A5A5A"/>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05050"/>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12542"/>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112542"/>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112542"/>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112542"/>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People That on Earth Do Dwell Small Group Handout</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