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5E1A20"/>
          <w:sz w:val="44"/>
        </w:rPr>
        <w:t>Are You Washed in the Blood?</w:t>
      </w:r>
    </w:p>
    <w:p>
      <w:pPr>
        <w:jc w:val="center"/>
      </w:pPr>
      <w:r>
        <w:rPr>
          <w:i/>
          <w:color w:val="605046"/>
          <w:sz w:val="20"/>
        </w:rPr>
        <w:t>Small Group Handout</w:t>
      </w:r>
    </w:p>
    <w:p>
      <w:pPr>
        <w:jc w:val="center"/>
      </w:pPr>
      <w:r>
        <w:rPr>
          <w:color w:val="6E6E6E"/>
          <w:sz w:val="17"/>
        </w:rPr>
        <w:t>Prepared for teaching and small group use - hymninfo.com</w:t>
      </w:r>
    </w:p>
    <w:p>
      <w:pPr>
        <w:pStyle w:val="Heading1"/>
        <w:spacing w:before="120" w:after="60"/>
      </w:pPr>
      <w:r>
        <w:t>Purpose of This Study</w:t>
      </w:r>
    </w:p>
    <w:p>
      <w:r>
        <w:t>This study helps a group hear the hymn as a gospel invitation centered on Christ, the Lamb of God, who cleanses sinners, gives assurance, and calls his people to walk in grace.</w:t>
      </w:r>
    </w:p>
    <w:p>
      <w:pPr>
        <w:pStyle w:val="Heading1"/>
        <w:spacing w:before="120" w:after="60"/>
      </w:pPr>
      <w:r>
        <w:t>Opening Reflection</w:t>
      </w:r>
    </w:p>
    <w:p>
      <w:pPr>
        <w:pStyle w:val="ListNumber"/>
        <w:spacing w:after="20"/>
      </w:pPr>
      <w:r>
        <w:t>When have you heard a hymn ask a question that stayed with you after the song ended?</w:t>
      </w:r>
    </w:p>
    <w:p>
      <w:pPr>
        <w:pStyle w:val="ListNumber"/>
        <w:spacing w:after="20"/>
      </w:pPr>
      <w:r>
        <w:t>Why do you think Scripture uses cleansing and white garments to describe forgiveness?</w:t>
      </w:r>
    </w:p>
    <w:p>
      <w:pPr>
        <w:pStyle w:val="ListNumber"/>
        <w:spacing w:after="20"/>
      </w:pPr>
      <w:r>
        <w:t>How can a church invite people to Christ with both urgency and pastoral care?</w:t>
      </w:r>
    </w:p>
    <w:p>
      <w:pPr>
        <w:pStyle w:val="Heading1"/>
        <w:spacing w:before="120" w:after="60"/>
      </w:pPr>
      <w:r>
        <w:t>Brief Hymn Background</w:t>
      </w:r>
    </w:p>
    <w:p>
      <w:r>
        <w:t>Elisha Albright Hoffman wrote both the words and music of this gospel hymn in 1878. It first appeared in Spiritual Songs for Gospel Meetings and the Sunday School. The tune is commonly known as WASHED IN THE BLOOD, and the meter is often listed as 11.9.11.9 with refrain.</w:t>
      </w:r>
    </w:p>
    <w:p>
      <w:r>
        <w:t>The hymn belongs to the nineteenth-century American gospel-song tradition. Its direct questions and memorable refrain made it useful in revival meetings, Sunday schools, testimony gatherings, and evangelistic services.</w:t>
      </w:r>
    </w:p>
    <w:p>
      <w:pPr>
        <w:pStyle w:val="Heading1"/>
        <w:spacing w:before="120" w:after="60"/>
      </w:pPr>
      <w:r>
        <w:t>Primary Scripture and Supporting Passages</w:t>
      </w:r>
    </w:p>
    <w:tbl>
      <w:tblPr>
        <w:tblW w:type="auto" w:w="0"/>
        <w:jc w:val="center"/>
        <w:tblLook w:firstColumn="1" w:firstRow="1" w:lastColumn="0" w:lastRow="0" w:noHBand="0" w:noVBand="1" w:val="04A0"/>
        <w:tblBorders>
          <w:top w:val="single" w:sz="4" w:space="0" w:color="C9B28A"/>
          <w:left w:val="single" w:sz="4" w:space="0" w:color="C9B28A"/>
          <w:bottom w:val="single" w:sz="4" w:space="0" w:color="C9B28A"/>
          <w:right w:val="single" w:sz="4" w:space="0" w:color="C9B28A"/>
          <w:insideH w:val="single" w:sz="4" w:space="0" w:color="C9B28A"/>
          <w:insideV w:val="single" w:sz="4" w:space="0" w:color="C9B28A"/>
        </w:tblBorders>
      </w:tblPr>
      <w:tblGrid>
        <w:gridCol w:w="5184"/>
        <w:gridCol w:w="5184"/>
      </w:tblGrid>
      <w:tr>
        <w:tc>
          <w:tcPr>
            <w:tcW w:type="dxa" w:w="5184"/>
            <w:shd w:fill="5E1A20"/>
          </w:tcPr>
          <w:p>
            <w:r/>
            <w:r>
              <w:rPr>
                <w:b/>
                <w:color w:val="FFFFFF"/>
                <w:sz w:val="18"/>
              </w:rPr>
              <w:t>Scripture</w:t>
            </w:r>
          </w:p>
        </w:tc>
        <w:tc>
          <w:tcPr>
            <w:tcW w:type="dxa" w:w="5184"/>
            <w:shd w:fill="5E1A20"/>
          </w:tcPr>
          <w:p>
            <w:r/>
            <w:r>
              <w:rPr>
                <w:b/>
                <w:color w:val="FFFFFF"/>
                <w:sz w:val="18"/>
              </w:rPr>
              <w:t>Teaching Connection</w:t>
            </w:r>
          </w:p>
        </w:tc>
      </w:tr>
      <w:tr>
        <w:tc>
          <w:tcPr>
            <w:tcW w:type="dxa" w:w="5184"/>
            <w:vAlign w:val="top"/>
          </w:tcPr>
          <w:p>
            <w:r/>
            <w:r>
              <w:rPr>
                <w:b/>
                <w:sz w:val="18"/>
              </w:rPr>
              <w:t>Revelation 7:14</w:t>
            </w:r>
          </w:p>
        </w:tc>
        <w:tc>
          <w:tcPr>
            <w:tcW w:type="dxa" w:w="5184"/>
            <w:vAlign w:val="top"/>
          </w:tcPr>
          <w:p>
            <w:r/>
            <w:r>
              <w:rPr>
                <w:b w:val="0"/>
                <w:sz w:val="18"/>
              </w:rPr>
              <w:t>The redeemed are described as washed and made white in the Lamb’s blood.</w:t>
            </w:r>
          </w:p>
        </w:tc>
      </w:tr>
      <w:tr>
        <w:tc>
          <w:tcPr>
            <w:tcW w:type="dxa" w:w="5184"/>
            <w:vAlign w:val="top"/>
          </w:tcPr>
          <w:p>
            <w:r/>
            <w:r>
              <w:rPr>
                <w:b/>
                <w:sz w:val="18"/>
              </w:rPr>
              <w:t>1 John 1:7</w:t>
            </w:r>
          </w:p>
        </w:tc>
        <w:tc>
          <w:tcPr>
            <w:tcW w:type="dxa" w:w="5184"/>
            <w:vAlign w:val="top"/>
          </w:tcPr>
          <w:p>
            <w:r/>
            <w:r>
              <w:rPr>
                <w:b w:val="0"/>
                <w:sz w:val="18"/>
              </w:rPr>
              <w:t>Christ’s blood cleanses believers from sin as they walk in the light.</w:t>
            </w:r>
          </w:p>
        </w:tc>
      </w:tr>
      <w:tr>
        <w:tc>
          <w:tcPr>
            <w:tcW w:type="dxa" w:w="5184"/>
            <w:vAlign w:val="top"/>
          </w:tcPr>
          <w:p>
            <w:r/>
            <w:r>
              <w:rPr>
                <w:b/>
                <w:sz w:val="18"/>
              </w:rPr>
              <w:t>Hebrews 9:14</w:t>
            </w:r>
          </w:p>
        </w:tc>
        <w:tc>
          <w:tcPr>
            <w:tcW w:type="dxa" w:w="5184"/>
            <w:vAlign w:val="top"/>
          </w:tcPr>
          <w:p>
            <w:r/>
            <w:r>
              <w:rPr>
                <w:b w:val="0"/>
                <w:sz w:val="18"/>
              </w:rPr>
              <w:t>Christ purifies the conscience so God’s people may serve the living God.</w:t>
            </w:r>
          </w:p>
        </w:tc>
      </w:tr>
      <w:tr>
        <w:tc>
          <w:tcPr>
            <w:tcW w:type="dxa" w:w="5184"/>
            <w:vAlign w:val="top"/>
          </w:tcPr>
          <w:p>
            <w:r/>
            <w:r>
              <w:rPr>
                <w:b/>
                <w:sz w:val="18"/>
              </w:rPr>
              <w:t>Isaiah 1:18</w:t>
            </w:r>
          </w:p>
        </w:tc>
        <w:tc>
          <w:tcPr>
            <w:tcW w:type="dxa" w:w="5184"/>
            <w:vAlign w:val="top"/>
          </w:tcPr>
          <w:p>
            <w:r/>
            <w:r>
              <w:rPr>
                <w:b w:val="0"/>
                <w:sz w:val="18"/>
              </w:rPr>
              <w:t>Scarlet sins become white as snow by God’s merciful cleansing.</w:t>
            </w:r>
          </w:p>
        </w:tc>
      </w:tr>
      <w:tr>
        <w:tc>
          <w:tcPr>
            <w:tcW w:type="dxa" w:w="5184"/>
            <w:vAlign w:val="top"/>
          </w:tcPr>
          <w:p>
            <w:r/>
            <w:r>
              <w:rPr>
                <w:b/>
                <w:sz w:val="18"/>
              </w:rPr>
              <w:t>1 Peter 1:18-19</w:t>
            </w:r>
          </w:p>
        </w:tc>
        <w:tc>
          <w:tcPr>
            <w:tcW w:type="dxa" w:w="5184"/>
            <w:vAlign w:val="top"/>
          </w:tcPr>
          <w:p>
            <w:r/>
            <w:r>
              <w:rPr>
                <w:b w:val="0"/>
                <w:sz w:val="18"/>
              </w:rPr>
              <w:t>Redemption comes through the precious blood of Christ, the spotless Lamb.</w:t>
            </w:r>
          </w:p>
        </w:tc>
      </w:tr>
    </w:tbl>
    <w:p>
      <w:pPr>
        <w:pStyle w:val="Heading1"/>
        <w:spacing w:before="120" w:after="60"/>
      </w:pPr>
      <w:r>
        <w:t>Hymn-Section Study</w:t>
      </w:r>
    </w:p>
    <w:p>
      <w:pPr>
        <w:pStyle w:val="Heading2"/>
        <w:spacing w:before="120" w:after="60"/>
      </w:pPr>
      <w:r>
        <w:t>The opening question</w:t>
      </w:r>
    </w:p>
    <w:p>
      <w:r>
        <w:t>The hymn begins by asking whether the hearer has come to Jesus for cleansing. It is not simply explaining a doctrine; it is asking for personal response to Christ.</w:t>
      </w:r>
    </w:p>
    <w:p>
      <w:pPr>
        <w:pStyle w:val="Heading2"/>
        <w:spacing w:before="120" w:after="60"/>
      </w:pPr>
      <w:r>
        <w:t>Walking in fellowship</w:t>
      </w:r>
    </w:p>
    <w:p>
      <w:r>
        <w:t>The hymn moves from conversion to daily life. Cleansing grace is meant to shape fellowship, obedience, and continuing trust.</w:t>
      </w:r>
    </w:p>
    <w:p>
      <w:pPr>
        <w:pStyle w:val="Heading2"/>
        <w:spacing w:before="120" w:after="60"/>
      </w:pPr>
      <w:r>
        <w:t>Readiness before God</w:t>
      </w:r>
    </w:p>
    <w:p>
      <w:r>
        <w:t>The gospel question also looks toward the day when each person stands before the Lord. Assurance rests on Christ’s saving work, not on self-improvement.</w:t>
      </w:r>
    </w:p>
    <w:p>
      <w:pPr>
        <w:pStyle w:val="Heading2"/>
        <w:spacing w:before="120" w:after="60"/>
      </w:pPr>
      <w:r>
        <w:t>The repeated refrain</w:t>
      </w:r>
    </w:p>
    <w:p>
      <w:r>
        <w:t>The refrain returns the congregation to the Lamb of God. Its repetition makes the central claim clear: forgiveness and purity come through Christ’s atoning sacrifice.</w:t>
      </w:r>
    </w:p>
    <w:p>
      <w:pPr>
        <w:pStyle w:val="Heading2"/>
        <w:spacing w:before="120" w:after="60"/>
      </w:pPr>
      <w:r>
        <w:t>Garments made clean</w:t>
      </w:r>
    </w:p>
    <w:p>
      <w:r>
        <w:t>The final imagery points to sin-stained garments laid aside and the redeemed made clean before God, echoing Revelation’s picture of washed robes.</w:t>
      </w:r>
    </w:p>
    <w:p>
      <w:pPr>
        <w:pStyle w:val="Heading1"/>
        <w:spacing w:before="120" w:after="60"/>
      </w:pPr>
      <w:r>
        <w:t>Study Table</w:t>
      </w:r>
    </w:p>
    <w:tbl>
      <w:tblPr>
        <w:tblW w:type="auto" w:w="0"/>
        <w:jc w:val="center"/>
        <w:tblLook w:firstColumn="1" w:firstRow="1" w:lastColumn="0" w:lastRow="0" w:noHBand="0" w:noVBand="1" w:val="04A0"/>
        <w:tblBorders>
          <w:top w:val="single" w:sz="4" w:space="0" w:color="C9B28A"/>
          <w:left w:val="single" w:sz="4" w:space="0" w:color="C9B28A"/>
          <w:bottom w:val="single" w:sz="4" w:space="0" w:color="C9B28A"/>
          <w:right w:val="single" w:sz="4" w:space="0" w:color="C9B28A"/>
          <w:insideH w:val="single" w:sz="4" w:space="0" w:color="C9B28A"/>
          <w:insideV w:val="single" w:sz="4" w:space="0" w:color="C9B28A"/>
        </w:tblBorders>
      </w:tblPr>
      <w:tblGrid>
        <w:gridCol w:w="3456"/>
        <w:gridCol w:w="3456"/>
        <w:gridCol w:w="3456"/>
      </w:tblGrid>
      <w:tr>
        <w:tc>
          <w:tcPr>
            <w:tcW w:type="dxa" w:w="3456"/>
            <w:shd w:fill="5E1A20"/>
          </w:tcPr>
          <w:p>
            <w:r/>
            <w:r>
              <w:rPr>
                <w:b/>
                <w:color w:val="FFFFFF"/>
                <w:sz w:val="18"/>
              </w:rPr>
              <w:t>Hymn Theme</w:t>
            </w:r>
          </w:p>
        </w:tc>
        <w:tc>
          <w:tcPr>
            <w:tcW w:type="dxa" w:w="3456"/>
            <w:shd w:fill="5E1A20"/>
          </w:tcPr>
          <w:p>
            <w:r/>
            <w:r>
              <w:rPr>
                <w:b/>
                <w:color w:val="FFFFFF"/>
                <w:sz w:val="18"/>
              </w:rPr>
              <w:t>Scripture Connection</w:t>
            </w:r>
          </w:p>
        </w:tc>
        <w:tc>
          <w:tcPr>
            <w:tcW w:type="dxa" w:w="3456"/>
            <w:shd w:fill="5E1A20"/>
          </w:tcPr>
          <w:p>
            <w:r/>
            <w:r>
              <w:rPr>
                <w:b/>
                <w:color w:val="FFFFFF"/>
                <w:sz w:val="18"/>
              </w:rPr>
              <w:t>Discussion Prompt</w:t>
            </w:r>
          </w:p>
        </w:tc>
      </w:tr>
      <w:tr>
        <w:tc>
          <w:tcPr>
            <w:tcW w:type="dxa" w:w="3456"/>
          </w:tcPr>
          <w:p>
            <w:r/>
            <w:r>
              <w:rPr>
                <w:b/>
                <w:sz w:val="18"/>
              </w:rPr>
              <w:t>Cleansing</w:t>
            </w:r>
          </w:p>
        </w:tc>
        <w:tc>
          <w:tcPr>
            <w:tcW w:type="dxa" w:w="3456"/>
          </w:tcPr>
          <w:p>
            <w:r/>
            <w:r>
              <w:rPr>
                <w:b w:val="0"/>
                <w:sz w:val="18"/>
              </w:rPr>
              <w:t>1 John 1:7</w:t>
            </w:r>
          </w:p>
        </w:tc>
        <w:tc>
          <w:tcPr>
            <w:tcW w:type="dxa" w:w="3456"/>
          </w:tcPr>
          <w:p>
            <w:r/>
            <w:r>
              <w:rPr>
                <w:b w:val="0"/>
                <w:sz w:val="18"/>
              </w:rPr>
              <w:t>What does cleansing say about both guilt and restoration?</w:t>
            </w:r>
          </w:p>
        </w:tc>
      </w:tr>
      <w:tr>
        <w:tc>
          <w:tcPr>
            <w:tcW w:type="dxa" w:w="3456"/>
          </w:tcPr>
          <w:p>
            <w:r/>
            <w:r>
              <w:rPr>
                <w:b/>
                <w:sz w:val="18"/>
              </w:rPr>
              <w:t>The Lamb of God</w:t>
            </w:r>
          </w:p>
        </w:tc>
        <w:tc>
          <w:tcPr>
            <w:tcW w:type="dxa" w:w="3456"/>
          </w:tcPr>
          <w:p>
            <w:r/>
            <w:r>
              <w:rPr>
                <w:b w:val="0"/>
                <w:sz w:val="18"/>
              </w:rPr>
              <w:t>1 Peter 1:18-19</w:t>
            </w:r>
          </w:p>
        </w:tc>
        <w:tc>
          <w:tcPr>
            <w:tcW w:type="dxa" w:w="3456"/>
          </w:tcPr>
          <w:p>
            <w:r/>
            <w:r>
              <w:rPr>
                <w:b w:val="0"/>
                <w:sz w:val="18"/>
              </w:rPr>
              <w:t>Why is the Lamb image central to Christian salvation?</w:t>
            </w:r>
          </w:p>
        </w:tc>
      </w:tr>
      <w:tr>
        <w:tc>
          <w:tcPr>
            <w:tcW w:type="dxa" w:w="3456"/>
          </w:tcPr>
          <w:p>
            <w:r/>
            <w:r>
              <w:rPr>
                <w:b/>
                <w:sz w:val="18"/>
              </w:rPr>
              <w:t>Assurance</w:t>
            </w:r>
          </w:p>
        </w:tc>
        <w:tc>
          <w:tcPr>
            <w:tcW w:type="dxa" w:w="3456"/>
          </w:tcPr>
          <w:p>
            <w:r/>
            <w:r>
              <w:rPr>
                <w:b w:val="0"/>
                <w:sz w:val="18"/>
              </w:rPr>
              <w:t>Revelation 7:14</w:t>
            </w:r>
          </w:p>
        </w:tc>
        <w:tc>
          <w:tcPr>
            <w:tcW w:type="dxa" w:w="3456"/>
          </w:tcPr>
          <w:p>
            <w:r/>
            <w:r>
              <w:rPr>
                <w:b w:val="0"/>
                <w:sz w:val="18"/>
              </w:rPr>
              <w:t>How does Christ’s work give confidence before God?</w:t>
            </w:r>
          </w:p>
        </w:tc>
      </w:tr>
      <w:tr>
        <w:tc>
          <w:tcPr>
            <w:tcW w:type="dxa" w:w="3456"/>
          </w:tcPr>
          <w:p>
            <w:r/>
            <w:r>
              <w:rPr>
                <w:b/>
                <w:sz w:val="18"/>
              </w:rPr>
              <w:t>Invitation</w:t>
            </w:r>
          </w:p>
        </w:tc>
        <w:tc>
          <w:tcPr>
            <w:tcW w:type="dxa" w:w="3456"/>
          </w:tcPr>
          <w:p>
            <w:r/>
            <w:r>
              <w:rPr>
                <w:b w:val="0"/>
                <w:sz w:val="18"/>
              </w:rPr>
              <w:t>Isaiah 1:18</w:t>
            </w:r>
          </w:p>
        </w:tc>
        <w:tc>
          <w:tcPr>
            <w:tcW w:type="dxa" w:w="3456"/>
          </w:tcPr>
          <w:p>
            <w:r/>
            <w:r>
              <w:rPr>
                <w:b w:val="0"/>
                <w:sz w:val="18"/>
              </w:rPr>
              <w:t>What makes a gospel invitation faithful and compassionate?</w:t>
            </w:r>
          </w:p>
        </w:tc>
      </w:tr>
    </w:tbl>
    <w:p>
      <w:pPr>
        <w:pStyle w:val="Heading1"/>
        <w:spacing w:before="120" w:after="60"/>
      </w:pPr>
      <w:r>
        <w:t>Discussion Questions</w:t>
      </w:r>
    </w:p>
    <w:p>
      <w:pPr>
        <w:pStyle w:val="ListNumber"/>
        <w:spacing w:after="20"/>
      </w:pPr>
      <w:r>
        <w:t>Why does this hymn ask questions instead of only making statements?</w:t>
      </w:r>
    </w:p>
    <w:p>
      <w:pPr>
        <w:pStyle w:val="ListNumber"/>
        <w:spacing w:after="20"/>
      </w:pPr>
      <w:r>
        <w:t>How does Revelation 7:14 help explain the phrase “washed in the blood”?</w:t>
      </w:r>
    </w:p>
    <w:p>
      <w:pPr>
        <w:pStyle w:val="ListNumber"/>
        <w:spacing w:after="20"/>
      </w:pPr>
      <w:r>
        <w:t>What does Hebrews 9:14 teach about the conscience and service to God?</w:t>
      </w:r>
    </w:p>
    <w:p>
      <w:pPr>
        <w:pStyle w:val="ListNumber"/>
        <w:spacing w:after="20"/>
      </w:pPr>
      <w:r>
        <w:t>How can a church speak plainly about sin while still sounding like good news?</w:t>
      </w:r>
    </w:p>
    <w:p>
      <w:pPr>
        <w:pStyle w:val="ListNumber"/>
        <w:spacing w:after="20"/>
      </w:pPr>
      <w:r>
        <w:t>What is the difference between guilt-driven religion and gospel assurance?</w:t>
      </w:r>
    </w:p>
    <w:p>
      <w:pPr>
        <w:pStyle w:val="ListNumber"/>
        <w:spacing w:after="20"/>
      </w:pPr>
      <w:r>
        <w:t>How should the cleansing work of Christ shape daily holiness?</w:t>
      </w:r>
    </w:p>
    <w:p>
      <w:pPr>
        <w:pStyle w:val="ListNumber"/>
        <w:spacing w:after="20"/>
      </w:pPr>
      <w:r>
        <w:t>Where might this hymn fit wisely in a worship service today?</w:t>
      </w:r>
    </w:p>
    <w:p>
      <w:pPr>
        <w:pStyle w:val="Heading1"/>
        <w:spacing w:before="120" w:after="60"/>
      </w:pPr>
      <w:r>
        <w:t>Practice This Week</w:t>
      </w:r>
    </w:p>
    <w:p>
      <w:pPr>
        <w:pStyle w:val="ListBullet"/>
        <w:spacing w:after="20"/>
      </w:pPr>
      <w:r>
        <w:t>Read Revelation 7:9-17 and pray with gratitude for Christ’s redeeming work.</w:t>
      </w:r>
    </w:p>
    <w:p>
      <w:pPr>
        <w:pStyle w:val="ListBullet"/>
        <w:spacing w:after="20"/>
      </w:pPr>
      <w:r>
        <w:t>Confess one area where you need cleansing and renewed obedience.</w:t>
      </w:r>
    </w:p>
    <w:p>
      <w:pPr>
        <w:pStyle w:val="ListBullet"/>
        <w:spacing w:after="20"/>
      </w:pPr>
      <w:r>
        <w:t>Encourage someone who struggles with guilt by pointing gently to Christ’s grace.</w:t>
      </w:r>
    </w:p>
    <w:p>
      <w:pPr>
        <w:pStyle w:val="ListBullet"/>
        <w:spacing w:after="20"/>
      </w:pPr>
      <w:r>
        <w:t>Before worship, ask God to help you sing gospel truth with both conviction and humility.</w:t>
      </w:r>
    </w:p>
    <w:p>
      <w:pPr>
        <w:pStyle w:val="Heading1"/>
        <w:spacing w:before="120" w:after="60"/>
      </w:pPr>
      <w:r>
        <w:t>Optional Leader Notes</w:t>
      </w:r>
    </w:p>
    <w:p>
      <w:r>
        <w:t>Keep the discussion centered on Scripture. Explain blood imagery as biblical language for atonement, redemption, cleansing, and covenant grace. Encourage honest response, but avoid pressuring people with fear. The hymn’s strongest invitation is Christ himself.</w:t>
      </w:r>
    </w:p>
    <w:p>
      <w:pPr>
        <w:pStyle w:val="Heading1"/>
        <w:spacing w:before="120" w:after="60"/>
      </w:pPr>
      <w:r>
        <w:t>Closing Prayer</w:t>
      </w:r>
    </w:p>
    <w:p>
      <w:r>
        <w:t>Lord Jesus Christ, Lamb of God, cleanse our hearts, quiet our fears, and lead us into the freedom of forgiveness. Teach us to trust your saving work, walk in your light, and serve the living God with grateful lives. Amen.</w:t>
      </w:r>
    </w:p>
    <w:p>
      <w:pPr>
        <w:jc w:val="center"/>
      </w:pPr>
      <w:r>
        <w:rPr>
          <w:color w:val="646464"/>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color w:val="2A2A2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5E1A2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5E1A2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color w:val="5E1A2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