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1F354B"/>
          <w:sz w:val="44"/>
        </w:rPr>
        <w:t>A Charge to Keep I Have</w:t>
      </w:r>
    </w:p>
    <w:p>
      <w:pPr>
        <w:jc w:val="center"/>
      </w:pPr>
      <w:r>
        <w:rPr>
          <w:rFonts w:ascii="Aptos" w:hAnsi="Aptos"/>
          <w:i/>
          <w:color w:val="67543E"/>
          <w:sz w:val="21"/>
        </w:rPr>
        <w:t>Small Group Handout - vocation, stewardship, and faithful discipleship</w:t>
      </w:r>
    </w:p>
    <w:p>
      <w:pPr>
        <w:pStyle w:val="Heading1"/>
        <w:spacing w:before="120" w:after="40"/>
      </w:pPr>
      <w:r>
        <w:t>Purpose of the Study</w:t>
      </w:r>
    </w:p>
    <w:p>
      <w:pPr>
        <w:spacing w:after="60" w:line="252" w:lineRule="auto"/>
      </w:pPr>
      <w:r>
        <w:rPr>
          <w:rFonts w:ascii="Aptos" w:hAnsi="Aptos"/>
          <w:sz w:val="19"/>
        </w:rPr>
        <w:t>This study helps a small group consider the Christian life as a sacred trust: a calling received from God, practiced in ordinary service, sustained by prayer, and carried faithfully to the end.</w:t>
      </w:r>
    </w:p>
    <w:p>
      <w:pPr>
        <w:pStyle w:val="Heading1"/>
        <w:spacing w:before="120" w:after="40"/>
      </w:pPr>
      <w:r>
        <w:t>Opening Reflection</w:t>
      </w:r>
    </w:p>
    <w:p>
      <w:pPr>
        <w:spacing w:after="40"/>
        <w:ind w:left="259" w:hanging="259"/>
      </w:pPr>
      <w:r>
        <w:rPr>
          <w:rFonts w:ascii="Aptos" w:hAnsi="Aptos"/>
          <w:color w:val="1F354B"/>
          <w:sz w:val="18"/>
        </w:rPr>
        <w:t xml:space="preserve">• </w:t>
      </w:r>
      <w:r>
        <w:rPr>
          <w:rFonts w:ascii="Aptos" w:hAnsi="Aptos"/>
          <w:sz w:val="18"/>
        </w:rPr>
        <w:t>When have you felt that God entrusted you with a responsibility larger than your own strength?</w:t>
      </w:r>
    </w:p>
    <w:p>
      <w:pPr>
        <w:spacing w:after="40"/>
        <w:ind w:left="259" w:hanging="259"/>
      </w:pPr>
      <w:r>
        <w:rPr>
          <w:rFonts w:ascii="Aptos" w:hAnsi="Aptos"/>
          <w:color w:val="1F354B"/>
          <w:sz w:val="18"/>
        </w:rPr>
        <w:t xml:space="preserve">• </w:t>
      </w:r>
      <w:r>
        <w:rPr>
          <w:rFonts w:ascii="Aptos" w:hAnsi="Aptos"/>
          <w:sz w:val="18"/>
        </w:rPr>
        <w:t>What ordinary duties in your life could be seen as service to Christ?</w:t>
      </w:r>
    </w:p>
    <w:p>
      <w:pPr>
        <w:spacing w:after="40"/>
        <w:ind w:left="259" w:hanging="259"/>
      </w:pPr>
      <w:r>
        <w:rPr>
          <w:rFonts w:ascii="Aptos" w:hAnsi="Aptos"/>
          <w:color w:val="1F354B"/>
          <w:sz w:val="18"/>
        </w:rPr>
        <w:t xml:space="preserve">• </w:t>
      </w:r>
      <w:r>
        <w:rPr>
          <w:rFonts w:ascii="Aptos" w:hAnsi="Aptos"/>
          <w:sz w:val="18"/>
        </w:rPr>
        <w:t>Why can responsibility feel both heavy and hopeful for a Christian?</w:t>
      </w:r>
    </w:p>
    <w:p>
      <w:pPr>
        <w:pStyle w:val="Heading1"/>
        <w:spacing w:before="120" w:after="40"/>
      </w:pPr>
      <w:r>
        <w:t>Brief Hymn Background</w:t>
      </w:r>
    </w:p>
    <w:p>
      <w:pPr>
        <w:spacing w:after="60" w:line="252" w:lineRule="auto"/>
      </w:pPr>
      <w:r>
        <w:rPr>
          <w:rFonts w:ascii="Aptos" w:hAnsi="Aptos"/>
          <w:sz w:val="19"/>
        </w:rPr>
        <w:t>A Charge to Keep I Have was written by Charles Wesley and first published in 1762 in a collection of hymns based on selected passages of Scripture. Wesley connected the hymn with Leviticus 8:35, where the language of keeping a charge describes consecrated service before the Lord.</w:t>
      </w:r>
    </w:p>
    <w:p>
      <w:pPr>
        <w:spacing w:after="60" w:line="252" w:lineRule="auto"/>
      </w:pPr>
      <w:r>
        <w:rPr>
          <w:rFonts w:ascii="Aptos" w:hAnsi="Aptos"/>
          <w:sz w:val="19"/>
        </w:rPr>
        <w:t>The hymn later became especially strong in Methodist hymnody and has also been used across many Protestant traditions. It is commonly sung to BOYLSTON, a Short Meter tune by Lowell Mason dated 1832.</w:t>
      </w:r>
    </w:p>
    <w:p>
      <w:pPr>
        <w:pStyle w:val="Heading1"/>
        <w:spacing w:before="120" w:after="40"/>
      </w:pPr>
      <w:r>
        <w:t>Primary Scripture and Supporting Scriptures</w:t>
      </w:r>
    </w:p>
    <w:p>
      <w:pPr>
        <w:spacing w:after="40"/>
        <w:ind w:left="259" w:hanging="259"/>
      </w:pPr>
      <w:r>
        <w:rPr>
          <w:rFonts w:ascii="Aptos" w:hAnsi="Aptos"/>
          <w:color w:val="1F354B"/>
          <w:sz w:val="18"/>
        </w:rPr>
        <w:t xml:space="preserve">• </w:t>
      </w:r>
      <w:r>
        <w:rPr>
          <w:rFonts w:ascii="Aptos" w:hAnsi="Aptos"/>
          <w:sz w:val="18"/>
        </w:rPr>
        <w:t>Leviticus 8:35 - sacred responsibility before God</w:t>
      </w:r>
    </w:p>
    <w:p>
      <w:pPr>
        <w:spacing w:after="40"/>
        <w:ind w:left="259" w:hanging="259"/>
      </w:pPr>
      <w:r>
        <w:rPr>
          <w:rFonts w:ascii="Aptos" w:hAnsi="Aptos"/>
          <w:color w:val="1F354B"/>
          <w:sz w:val="18"/>
        </w:rPr>
        <w:t xml:space="preserve">• </w:t>
      </w:r>
      <w:r>
        <w:rPr>
          <w:rFonts w:ascii="Aptos" w:hAnsi="Aptos"/>
          <w:sz w:val="18"/>
        </w:rPr>
        <w:t>1 Corinthians 4:2 - faithfulness required of stewards</w:t>
      </w:r>
    </w:p>
    <w:p>
      <w:pPr>
        <w:spacing w:after="40"/>
        <w:ind w:left="259" w:hanging="259"/>
      </w:pPr>
      <w:r>
        <w:rPr>
          <w:rFonts w:ascii="Aptos" w:hAnsi="Aptos"/>
          <w:color w:val="1F354B"/>
          <w:sz w:val="18"/>
        </w:rPr>
        <w:t xml:space="preserve">• </w:t>
      </w:r>
      <w:r>
        <w:rPr>
          <w:rFonts w:ascii="Aptos" w:hAnsi="Aptos"/>
          <w:sz w:val="18"/>
        </w:rPr>
        <w:t>Ephesians 4:1 - walking worthily of one's calling</w:t>
      </w:r>
    </w:p>
    <w:p>
      <w:pPr>
        <w:spacing w:after="40"/>
        <w:ind w:left="259" w:hanging="259"/>
      </w:pPr>
      <w:r>
        <w:rPr>
          <w:rFonts w:ascii="Aptos" w:hAnsi="Aptos"/>
          <w:color w:val="1F354B"/>
          <w:sz w:val="18"/>
        </w:rPr>
        <w:t xml:space="preserve">• </w:t>
      </w:r>
      <w:r>
        <w:rPr>
          <w:rFonts w:ascii="Aptos" w:hAnsi="Aptos"/>
          <w:sz w:val="18"/>
        </w:rPr>
        <w:t>Colossians 3:23-24 - daily work as service to Christ</w:t>
      </w:r>
    </w:p>
    <w:p>
      <w:pPr>
        <w:spacing w:after="40"/>
        <w:ind w:left="259" w:hanging="259"/>
      </w:pPr>
      <w:r>
        <w:rPr>
          <w:rFonts w:ascii="Aptos" w:hAnsi="Aptos"/>
          <w:color w:val="1F354B"/>
          <w:sz w:val="18"/>
        </w:rPr>
        <w:t xml:space="preserve">• </w:t>
      </w:r>
      <w:r>
        <w:rPr>
          <w:rFonts w:ascii="Aptos" w:hAnsi="Aptos"/>
          <w:sz w:val="18"/>
        </w:rPr>
        <w:t>2 Timothy 4:7 - finishing the course and keeping the faith</w:t>
      </w:r>
    </w:p>
    <w:p>
      <w:pPr>
        <w:pStyle w:val="Heading1"/>
        <w:spacing w:before="120" w:after="40"/>
      </w:pPr>
      <w:r>
        <w:t>Stanza-by-Stanza Study</w:t>
      </w:r>
    </w:p>
    <w:p>
      <w:pPr>
        <w:spacing w:after="60" w:line="252" w:lineRule="auto"/>
      </w:pPr>
      <w:r>
        <w:rPr>
          <w:rFonts w:ascii="Aptos" w:hAnsi="Aptos"/>
          <w:b/>
          <w:sz w:val="19"/>
        </w:rPr>
        <w:t>Opening movement:</w:t>
      </w:r>
      <w:r>
        <w:rPr>
          <w:rFonts w:ascii="Aptos" w:hAnsi="Aptos"/>
          <w:sz w:val="19"/>
        </w:rPr>
        <w:t xml:space="preserve"> The believer recognizes a sacred responsibility before God. Life is framed as a calling to glorify God and serve faithfully.</w:t>
      </w:r>
    </w:p>
    <w:p>
      <w:pPr>
        <w:spacing w:after="60" w:line="252" w:lineRule="auto"/>
      </w:pPr>
      <w:r>
        <w:rPr>
          <w:rFonts w:ascii="Aptos" w:hAnsi="Aptos"/>
          <w:b/>
          <w:sz w:val="19"/>
        </w:rPr>
        <w:t>Service in the present age:</w:t>
      </w:r>
      <w:r>
        <w:rPr>
          <w:rFonts w:ascii="Aptos" w:hAnsi="Aptos"/>
          <w:sz w:val="19"/>
        </w:rPr>
        <w:t xml:space="preserve"> The hymn moves from calling to action. Faithfulness is not abstract; it is practiced in ordinary duties, relationships, and witness.</w:t>
      </w:r>
    </w:p>
    <w:p>
      <w:pPr>
        <w:spacing w:after="60" w:line="252" w:lineRule="auto"/>
      </w:pPr>
      <w:r>
        <w:rPr>
          <w:rFonts w:ascii="Aptos" w:hAnsi="Aptos"/>
          <w:b/>
          <w:sz w:val="19"/>
        </w:rPr>
        <w:t>Watchfulness and prayer:</w:t>
      </w:r>
      <w:r>
        <w:rPr>
          <w:rFonts w:ascii="Aptos" w:hAnsi="Aptos"/>
          <w:sz w:val="19"/>
        </w:rPr>
        <w:t xml:space="preserve"> Wesley emphasizes vigilance and dependence. The disciple must watch and pray because faithful service requires grace.</w:t>
      </w:r>
    </w:p>
    <w:p>
      <w:pPr>
        <w:spacing w:after="60" w:line="252" w:lineRule="auto"/>
      </w:pPr>
      <w:r>
        <w:rPr>
          <w:rFonts w:ascii="Aptos" w:hAnsi="Aptos"/>
          <w:b/>
          <w:sz w:val="19"/>
        </w:rPr>
        <w:t>Finishing faithfully:</w:t>
      </w:r>
      <w:r>
        <w:rPr>
          <w:rFonts w:ascii="Aptos" w:hAnsi="Aptos"/>
          <w:sz w:val="19"/>
        </w:rPr>
        <w:t xml:space="preserve"> The hymn looks toward accountability and perseverance. Christian responsibility is carried with seriousness, dependence, and hope.</w:t>
      </w:r>
    </w:p>
    <w:p>
      <w:pPr>
        <w:pStyle w:val="Heading1"/>
        <w:spacing w:before="120" w:after="40"/>
      </w:pPr>
      <w:r>
        <w:t>Study Table</w:t>
      </w:r>
    </w:p>
    <w:tbl>
      <w:tblPr>
        <w:tblStyle w:val="TableGrid"/>
        <w:tblW w:type="auto" w:w="0"/>
        <w:jc w:val="center"/>
        <w:tblLook w:firstColumn="1" w:firstRow="1" w:lastColumn="0" w:lastRow="0" w:noHBand="0" w:noVBand="1" w:val="04A0"/>
      </w:tblPr>
      <w:tblGrid>
        <w:gridCol w:w="3504"/>
        <w:gridCol w:w="3504"/>
        <w:gridCol w:w="3504"/>
      </w:tblGrid>
      <w:tr>
        <w:tc>
          <w:tcPr>
            <w:tcW w:type="dxa" w:w="3504"/>
            <w:shd w:fill="1F354B"/>
            <w:vAlign w:val="center"/>
          </w:tcPr>
          <w:p>
            <w:r/>
            <w:r>
              <w:rPr>
                <w:rFonts w:ascii="Aptos" w:hAnsi="Aptos"/>
                <w:b/>
                <w:color w:val="FFFFFF"/>
                <w:sz w:val="17"/>
              </w:rPr>
              <w:t>Hymn Theme</w:t>
            </w:r>
          </w:p>
        </w:tc>
        <w:tc>
          <w:tcPr>
            <w:tcW w:type="dxa" w:w="3504"/>
            <w:shd w:fill="1F354B"/>
            <w:vAlign w:val="center"/>
          </w:tcPr>
          <w:p>
            <w:r/>
            <w:r>
              <w:rPr>
                <w:rFonts w:ascii="Aptos" w:hAnsi="Aptos"/>
                <w:b/>
                <w:color w:val="FFFFFF"/>
                <w:sz w:val="17"/>
              </w:rPr>
              <w:t>Scripture Connection</w:t>
            </w:r>
          </w:p>
        </w:tc>
        <w:tc>
          <w:tcPr>
            <w:tcW w:type="dxa" w:w="3504"/>
            <w:shd w:fill="1F354B"/>
            <w:vAlign w:val="center"/>
          </w:tcPr>
          <w:p>
            <w:r/>
            <w:r>
              <w:rPr>
                <w:rFonts w:ascii="Aptos" w:hAnsi="Aptos"/>
                <w:b/>
                <w:color w:val="FFFFFF"/>
                <w:sz w:val="17"/>
              </w:rPr>
              <w:t>Discussion Prompt</w:t>
            </w:r>
          </w:p>
        </w:tc>
      </w:tr>
      <w:tr>
        <w:tc>
          <w:tcPr>
            <w:tcW w:type="dxa" w:w="3504"/>
          </w:tcPr>
          <w:p>
            <w:r/>
            <w:r>
              <w:rPr>
                <w:rFonts w:ascii="Aptos" w:hAnsi="Aptos"/>
                <w:b w:val="0"/>
                <w:color w:val="000000"/>
                <w:sz w:val="17"/>
              </w:rPr>
              <w:t>Sacred charge</w:t>
            </w:r>
          </w:p>
        </w:tc>
        <w:tc>
          <w:tcPr>
            <w:tcW w:type="dxa" w:w="3504"/>
          </w:tcPr>
          <w:p>
            <w:r/>
            <w:r>
              <w:rPr>
                <w:rFonts w:ascii="Aptos" w:hAnsi="Aptos"/>
                <w:b w:val="0"/>
                <w:color w:val="000000"/>
                <w:sz w:val="17"/>
              </w:rPr>
              <w:t>Leviticus 8:35</w:t>
            </w:r>
          </w:p>
        </w:tc>
        <w:tc>
          <w:tcPr>
            <w:tcW w:type="dxa" w:w="3504"/>
          </w:tcPr>
          <w:p>
            <w:r/>
            <w:r>
              <w:rPr>
                <w:rFonts w:ascii="Aptos" w:hAnsi="Aptos"/>
                <w:b w:val="0"/>
                <w:color w:val="000000"/>
                <w:sz w:val="17"/>
              </w:rPr>
              <w:t>What has God entrusted to believers today?</w:t>
            </w:r>
          </w:p>
        </w:tc>
      </w:tr>
      <w:tr>
        <w:tc>
          <w:tcPr>
            <w:tcW w:type="dxa" w:w="3504"/>
          </w:tcPr>
          <w:p>
            <w:r/>
            <w:r>
              <w:rPr>
                <w:rFonts w:ascii="Aptos" w:hAnsi="Aptos"/>
                <w:b w:val="0"/>
                <w:color w:val="000000"/>
                <w:sz w:val="17"/>
              </w:rPr>
              <w:t>Stewardship</w:t>
            </w:r>
          </w:p>
        </w:tc>
        <w:tc>
          <w:tcPr>
            <w:tcW w:type="dxa" w:w="3504"/>
          </w:tcPr>
          <w:p>
            <w:r/>
            <w:r>
              <w:rPr>
                <w:rFonts w:ascii="Aptos" w:hAnsi="Aptos"/>
                <w:b w:val="0"/>
                <w:color w:val="000000"/>
                <w:sz w:val="17"/>
              </w:rPr>
              <w:t>1 Corinthians 4:2</w:t>
            </w:r>
          </w:p>
        </w:tc>
        <w:tc>
          <w:tcPr>
            <w:tcW w:type="dxa" w:w="3504"/>
          </w:tcPr>
          <w:p>
            <w:r/>
            <w:r>
              <w:rPr>
                <w:rFonts w:ascii="Aptos" w:hAnsi="Aptos"/>
                <w:b w:val="0"/>
                <w:color w:val="000000"/>
                <w:sz w:val="17"/>
              </w:rPr>
              <w:t>Where is faithfulness needed more than visibility?</w:t>
            </w:r>
          </w:p>
        </w:tc>
      </w:tr>
      <w:tr>
        <w:tc>
          <w:tcPr>
            <w:tcW w:type="dxa" w:w="3504"/>
          </w:tcPr>
          <w:p>
            <w:r/>
            <w:r>
              <w:rPr>
                <w:rFonts w:ascii="Aptos" w:hAnsi="Aptos"/>
                <w:b w:val="0"/>
                <w:color w:val="000000"/>
                <w:sz w:val="17"/>
              </w:rPr>
              <w:t>Daily vocation</w:t>
            </w:r>
          </w:p>
        </w:tc>
        <w:tc>
          <w:tcPr>
            <w:tcW w:type="dxa" w:w="3504"/>
          </w:tcPr>
          <w:p>
            <w:r/>
            <w:r>
              <w:rPr>
                <w:rFonts w:ascii="Aptos" w:hAnsi="Aptos"/>
                <w:b w:val="0"/>
                <w:color w:val="000000"/>
                <w:sz w:val="17"/>
              </w:rPr>
              <w:t>Colossians 3:23-24</w:t>
            </w:r>
          </w:p>
        </w:tc>
        <w:tc>
          <w:tcPr>
            <w:tcW w:type="dxa" w:w="3504"/>
          </w:tcPr>
          <w:p>
            <w:r/>
            <w:r>
              <w:rPr>
                <w:rFonts w:ascii="Aptos" w:hAnsi="Aptos"/>
                <w:b w:val="0"/>
                <w:color w:val="000000"/>
                <w:sz w:val="17"/>
              </w:rPr>
              <w:t>How can ordinary work become service to Christ?</w:t>
            </w:r>
          </w:p>
        </w:tc>
      </w:tr>
      <w:tr>
        <w:tc>
          <w:tcPr>
            <w:tcW w:type="dxa" w:w="3504"/>
          </w:tcPr>
          <w:p>
            <w:r/>
            <w:r>
              <w:rPr>
                <w:rFonts w:ascii="Aptos" w:hAnsi="Aptos"/>
                <w:b w:val="0"/>
                <w:color w:val="000000"/>
                <w:sz w:val="17"/>
              </w:rPr>
              <w:t>Perseverance</w:t>
            </w:r>
          </w:p>
        </w:tc>
        <w:tc>
          <w:tcPr>
            <w:tcW w:type="dxa" w:w="3504"/>
          </w:tcPr>
          <w:p>
            <w:r/>
            <w:r>
              <w:rPr>
                <w:rFonts w:ascii="Aptos" w:hAnsi="Aptos"/>
                <w:b w:val="0"/>
                <w:color w:val="000000"/>
                <w:sz w:val="17"/>
              </w:rPr>
              <w:t>2 Timothy 4:7</w:t>
            </w:r>
          </w:p>
        </w:tc>
        <w:tc>
          <w:tcPr>
            <w:tcW w:type="dxa" w:w="3504"/>
          </w:tcPr>
          <w:p>
            <w:r/>
            <w:r>
              <w:rPr>
                <w:rFonts w:ascii="Aptos" w:hAnsi="Aptos"/>
                <w:b w:val="0"/>
                <w:color w:val="000000"/>
                <w:sz w:val="17"/>
              </w:rPr>
              <w:t>What helps a believer finish faithfully?</w:t>
            </w:r>
          </w:p>
        </w:tc>
      </w:tr>
    </w:tbl>
    <w:p>
      <w:pPr>
        <w:pStyle w:val="Heading1"/>
        <w:spacing w:before="120" w:after="40"/>
      </w:pPr>
      <w:r>
        <w:t>Discussion Questions</w:t>
      </w:r>
    </w:p>
    <w:p>
      <w:pPr>
        <w:spacing w:after="40"/>
        <w:ind w:left="259" w:hanging="259"/>
      </w:pPr>
      <w:r>
        <w:rPr>
          <w:rFonts w:ascii="Aptos" w:hAnsi="Aptos"/>
          <w:color w:val="1F354B"/>
          <w:sz w:val="18"/>
        </w:rPr>
        <w:t xml:space="preserve">• </w:t>
      </w:r>
      <w:r>
        <w:rPr>
          <w:rFonts w:ascii="Aptos" w:hAnsi="Aptos"/>
          <w:sz w:val="18"/>
        </w:rPr>
        <w:t>How does Leviticus 8:35 help explain the hymn's theme of sacred responsibility?</w:t>
      </w:r>
    </w:p>
    <w:p>
      <w:pPr>
        <w:spacing w:after="40"/>
        <w:ind w:left="259" w:hanging="259"/>
      </w:pPr>
      <w:r>
        <w:rPr>
          <w:rFonts w:ascii="Aptos" w:hAnsi="Aptos"/>
          <w:color w:val="1F354B"/>
          <w:sz w:val="18"/>
        </w:rPr>
        <w:t xml:space="preserve">• </w:t>
      </w:r>
      <w:r>
        <w:rPr>
          <w:rFonts w:ascii="Aptos" w:hAnsi="Aptos"/>
          <w:sz w:val="18"/>
        </w:rPr>
        <w:t>What does Christian vocation mean for believers who are not ordained ministers?</w:t>
      </w:r>
    </w:p>
    <w:p>
      <w:pPr>
        <w:spacing w:after="40"/>
        <w:ind w:left="259" w:hanging="259"/>
      </w:pPr>
      <w:r>
        <w:rPr>
          <w:rFonts w:ascii="Aptos" w:hAnsi="Aptos"/>
          <w:color w:val="1F354B"/>
          <w:sz w:val="18"/>
        </w:rPr>
        <w:t xml:space="preserve">• </w:t>
      </w:r>
      <w:r>
        <w:rPr>
          <w:rFonts w:ascii="Aptos" w:hAnsi="Aptos"/>
          <w:sz w:val="18"/>
        </w:rPr>
        <w:t>How do stewardship and grace belong together in the Christian life?</w:t>
      </w:r>
    </w:p>
    <w:p>
      <w:pPr>
        <w:spacing w:after="40"/>
        <w:ind w:left="259" w:hanging="259"/>
      </w:pPr>
      <w:r>
        <w:rPr>
          <w:rFonts w:ascii="Aptos" w:hAnsi="Aptos"/>
          <w:color w:val="1F354B"/>
          <w:sz w:val="18"/>
        </w:rPr>
        <w:t xml:space="preserve">• </w:t>
      </w:r>
      <w:r>
        <w:rPr>
          <w:rFonts w:ascii="Aptos" w:hAnsi="Aptos"/>
          <w:sz w:val="18"/>
        </w:rPr>
        <w:t>Why does the hymn place such emphasis on watchfulness and prayer?</w:t>
      </w:r>
    </w:p>
    <w:p>
      <w:pPr>
        <w:spacing w:after="40"/>
        <w:ind w:left="259" w:hanging="259"/>
      </w:pPr>
      <w:r>
        <w:rPr>
          <w:rFonts w:ascii="Aptos" w:hAnsi="Aptos"/>
          <w:color w:val="1F354B"/>
          <w:sz w:val="18"/>
        </w:rPr>
        <w:t xml:space="preserve">• </w:t>
      </w:r>
      <w:r>
        <w:rPr>
          <w:rFonts w:ascii="Aptos" w:hAnsi="Aptos"/>
          <w:sz w:val="18"/>
        </w:rPr>
        <w:t>What daily duty do you need to receive again as service to Christ?</w:t>
      </w:r>
    </w:p>
    <w:p>
      <w:pPr>
        <w:spacing w:after="40"/>
        <w:ind w:left="259" w:hanging="259"/>
      </w:pPr>
      <w:r>
        <w:rPr>
          <w:rFonts w:ascii="Aptos" w:hAnsi="Aptos"/>
          <w:color w:val="1F354B"/>
          <w:sz w:val="18"/>
        </w:rPr>
        <w:t xml:space="preserve">• </w:t>
      </w:r>
      <w:r>
        <w:rPr>
          <w:rFonts w:ascii="Aptos" w:hAnsi="Aptos"/>
          <w:sz w:val="18"/>
        </w:rPr>
        <w:t>How can a congregation help its members serve faithfully in the present age?</w:t>
      </w:r>
    </w:p>
    <w:p>
      <w:pPr>
        <w:spacing w:after="40"/>
        <w:ind w:left="259" w:hanging="259"/>
      </w:pPr>
      <w:r>
        <w:rPr>
          <w:rFonts w:ascii="Aptos" w:hAnsi="Aptos"/>
          <w:color w:val="1F354B"/>
          <w:sz w:val="18"/>
        </w:rPr>
        <w:t xml:space="preserve">• </w:t>
      </w:r>
      <w:r>
        <w:rPr>
          <w:rFonts w:ascii="Aptos" w:hAnsi="Aptos"/>
          <w:sz w:val="18"/>
        </w:rPr>
        <w:t>Where might duty become legalism, and how does the gospel correct that?</w:t>
      </w:r>
    </w:p>
    <w:p>
      <w:pPr>
        <w:pStyle w:val="Heading1"/>
        <w:spacing w:before="120" w:after="40"/>
      </w:pPr>
      <w:r>
        <w:t>Practice This Week</w:t>
      </w:r>
    </w:p>
    <w:p>
      <w:pPr>
        <w:spacing w:after="40"/>
        <w:ind w:left="259" w:hanging="259"/>
      </w:pPr>
      <w:r>
        <w:rPr>
          <w:rFonts w:ascii="Aptos" w:hAnsi="Aptos"/>
          <w:color w:val="1F354B"/>
          <w:sz w:val="18"/>
        </w:rPr>
        <w:t xml:space="preserve">• </w:t>
      </w:r>
      <w:r>
        <w:rPr>
          <w:rFonts w:ascii="Aptos" w:hAnsi="Aptos"/>
          <w:sz w:val="18"/>
        </w:rPr>
        <w:t>Pray each morning: "Lord, make me faithful in the work you have entrusted to me."</w:t>
      </w:r>
    </w:p>
    <w:p>
      <w:pPr>
        <w:spacing w:after="40"/>
        <w:ind w:left="259" w:hanging="259"/>
      </w:pPr>
      <w:r>
        <w:rPr>
          <w:rFonts w:ascii="Aptos" w:hAnsi="Aptos"/>
          <w:color w:val="1F354B"/>
          <w:sz w:val="18"/>
        </w:rPr>
        <w:t xml:space="preserve">• </w:t>
      </w:r>
      <w:r>
        <w:rPr>
          <w:rFonts w:ascii="Aptos" w:hAnsi="Aptos"/>
          <w:sz w:val="18"/>
        </w:rPr>
        <w:t>Choose one ordinary task and do it consciously as service to Christ.</w:t>
      </w:r>
    </w:p>
    <w:p>
      <w:pPr>
        <w:spacing w:after="40"/>
        <w:ind w:left="259" w:hanging="259"/>
      </w:pPr>
      <w:r>
        <w:rPr>
          <w:rFonts w:ascii="Aptos" w:hAnsi="Aptos"/>
          <w:color w:val="1F354B"/>
          <w:sz w:val="18"/>
        </w:rPr>
        <w:t xml:space="preserve">• </w:t>
      </w:r>
      <w:r>
        <w:rPr>
          <w:rFonts w:ascii="Aptos" w:hAnsi="Aptos"/>
          <w:sz w:val="18"/>
        </w:rPr>
        <w:t>Encourage one person whose quiet faithfulness often goes unnoticed.</w:t>
      </w:r>
    </w:p>
    <w:p>
      <w:pPr>
        <w:spacing w:after="40"/>
        <w:ind w:left="259" w:hanging="259"/>
      </w:pPr>
      <w:r>
        <w:rPr>
          <w:rFonts w:ascii="Aptos" w:hAnsi="Aptos"/>
          <w:color w:val="1F354B"/>
          <w:sz w:val="18"/>
        </w:rPr>
        <w:t xml:space="preserve">• </w:t>
      </w:r>
      <w:r>
        <w:rPr>
          <w:rFonts w:ascii="Aptos" w:hAnsi="Aptos"/>
          <w:sz w:val="18"/>
        </w:rPr>
        <w:t>Review your time, speech, and responsibilities in light of Colossians 3:23-24.</w:t>
      </w:r>
    </w:p>
    <w:p>
      <w:pPr>
        <w:pStyle w:val="Heading1"/>
        <w:spacing w:before="120" w:after="40"/>
      </w:pPr>
      <w:r>
        <w:t>Optional Leader Notes</w:t>
      </w:r>
    </w:p>
    <w:p>
      <w:pPr>
        <w:spacing w:after="60" w:line="252" w:lineRule="auto"/>
      </w:pPr>
      <w:r>
        <w:rPr>
          <w:rFonts w:ascii="Aptos" w:hAnsi="Aptos"/>
          <w:sz w:val="19"/>
        </w:rPr>
        <w:t>Keep the discussion rooted in grace. The hymn is serious, but its seriousness should lead to prayerful dependence rather than anxious self-effort. Encourage participants to name concrete callings without comparing the size or visibility of their responsibilities.</w:t>
      </w:r>
    </w:p>
    <w:p>
      <w:pPr>
        <w:pStyle w:val="Heading1"/>
        <w:spacing w:before="120" w:after="40"/>
      </w:pPr>
      <w:r>
        <w:t>Closing Prayer</w:t>
      </w:r>
    </w:p>
    <w:p>
      <w:pPr>
        <w:spacing w:after="60" w:line="252" w:lineRule="auto"/>
      </w:pPr>
      <w:r>
        <w:rPr>
          <w:rFonts w:ascii="Aptos" w:hAnsi="Aptos"/>
          <w:sz w:val="19"/>
        </w:rPr>
        <w:t>Lord, teach us to keep the calling you have entrusted to us. Make us faithful in hidden duties and public service, in ordinary work and church ministry. Give us watchful hearts, steady hands, and grace to finish our course in Christ. Amen.</w:t>
      </w:r>
    </w:p>
    <w:p>
      <w:pPr>
        <w:jc w:val="center"/>
      </w:pPr>
      <w:r>
        <w:rPr>
          <w:rFonts w:ascii="Aptos" w:hAnsi="Aptos"/>
          <w:color w:val="695846"/>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65848"/>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F354B"/>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1F354B"/>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1F354B"/>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1F354B"/>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Charge to Keep I Have Small Group Handout</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