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jc w:val="center"/>
      </w:pPr>
      <w:r>
        <w:rPr>
          <w:rFonts w:ascii="Aptos Display" w:hAnsi="Aptos Display"/>
          <w:b/>
          <w:color w:val="1D2B3A"/>
          <w:sz w:val="42"/>
        </w:rPr>
        <w:t>All Things Come of Thee</w:t>
      </w:r>
    </w:p>
    <w:p>
      <w:pPr>
        <w:spacing w:after="100"/>
        <w:jc w:val="center"/>
      </w:pPr>
      <w:r>
        <w:rPr>
          <w:i/>
          <w:color w:val="5A5A5A"/>
          <w:sz w:val="20"/>
        </w:rPr>
        <w:t>Small Group Handout</w:t>
      </w:r>
    </w:p>
    <w:p>
      <w:r>
        <w:rPr>
          <w:b/>
        </w:rPr>
        <w:t xml:space="preserve">Purpose: </w:t>
      </w:r>
      <w:r>
        <w:t>To help a group see giving as worship: a humble, grateful return of what God has first entrusted to his people.</w:t>
      </w:r>
    </w:p>
    <w:p>
      <w:pPr>
        <w:pStyle w:val="Heading1"/>
        <w:spacing w:before="80" w:after="30"/>
      </w:pPr>
      <w:r>
        <w:t>Opening Reflection</w:t>
      </w:r>
    </w:p>
    <w:p>
      <w:pPr>
        <w:pStyle w:val="CompactList"/>
      </w:pPr>
      <w:r>
        <w:rPr>
          <w:b/>
        </w:rPr>
        <w:t xml:space="preserve">• </w:t>
      </w:r>
      <w:r>
        <w:t>When have you received a gift that made you more grateful than proud?</w:t>
      </w:r>
    </w:p>
    <w:p>
      <w:pPr>
        <w:pStyle w:val="CompactList"/>
      </w:pPr>
      <w:r>
        <w:rPr>
          <w:b/>
        </w:rPr>
        <w:t xml:space="preserve">• </w:t>
      </w:r>
      <w:r>
        <w:t>What makes the offering feel like worship rather than an interruption?</w:t>
      </w:r>
    </w:p>
    <w:p>
      <w:pPr>
        <w:pStyle w:val="CompactList"/>
      </w:pPr>
      <w:r>
        <w:rPr>
          <w:b/>
        </w:rPr>
        <w:t xml:space="preserve">• </w:t>
      </w:r>
      <w:r>
        <w:t>How does remembering God’s ownership change the way we hold money, time, abilities, and influence?</w:t>
      </w:r>
    </w:p>
    <w:p>
      <w:pPr>
        <w:pStyle w:val="Heading1"/>
        <w:spacing w:before="80" w:after="30"/>
      </w:pPr>
      <w:r>
        <w:t>Brief Background</w:t>
      </w:r>
    </w:p>
    <w:p>
      <w:r>
        <w:rPr>
          <w:i/>
        </w:rPr>
        <w:t>All Things Come of Thee</w:t>
      </w:r>
      <w:r>
        <w:t xml:space="preserve"> is a short offertory sentence drawn from David’s prayer in 1 Chronicles 29:14. It is usually used as service music, a spoken response, a chant, or a short congregational acclamation at the presentation of gifts.</w:t>
      </w:r>
    </w:p>
    <w:p>
      <w:r>
        <w:t>In that biblical setting, David and the people have given willingly for the temple. Yet David refuses to treat generosity as human achievement. He confesses that the people give only because God has first given to them.</w:t>
      </w:r>
    </w:p>
    <w:p>
      <w:r>
        <w:rPr>
          <w:b/>
        </w:rPr>
        <w:t xml:space="preserve">Hymn identity: </w:t>
      </w:r>
      <w:r>
        <w:t>Scripture text: 1 Chronicles 29:14; common use: offertory response; tune often listed as OFFERING; music frequently credited as anonymous; meter commonly treated as irregular.</w:t>
      </w:r>
    </w:p>
    <w:p>
      <w:pPr>
        <w:pStyle w:val="Heading1"/>
        <w:spacing w:before="80" w:after="30"/>
      </w:pPr>
      <w:r>
        <w:t>Primary Scripture and Supporting Passages</w:t>
      </w:r>
    </w:p>
    <w:tbl>
      <w:tblPr>
        <w:tblStyle w:val="TableGrid"/>
        <w:tblW w:type="auto" w:w="0"/>
        <w:jc w:val="center"/>
        <w:tblLook w:firstColumn="1" w:firstRow="1" w:lastColumn="0" w:lastRow="0" w:noHBand="0" w:noVBand="1" w:val="04A0"/>
      </w:tblPr>
      <w:tblGrid>
        <w:gridCol w:w="5285"/>
        <w:gridCol w:w="5285"/>
      </w:tblGrid>
      <w:tr>
        <w:tc>
          <w:tcPr>
            <w:tcW w:type="dxa" w:w="5285"/>
            <w:vAlign w:val="center"/>
            <w:shd w:fill="1D2B3A"/>
          </w:tcPr>
          <w:p>
            <w:pPr>
              <w:spacing w:after="0" w:before="0"/>
            </w:pPr>
            <w:r/>
            <w:r>
              <w:rPr>
                <w:rFonts w:ascii="Aptos" w:hAnsi="Aptos"/>
                <w:b/>
                <w:color w:val="FFFFFF"/>
                <w:sz w:val="17"/>
              </w:rPr>
              <w:t>Scripture</w:t>
            </w:r>
          </w:p>
        </w:tc>
        <w:tc>
          <w:tcPr>
            <w:tcW w:type="dxa" w:w="5285"/>
            <w:vAlign w:val="center"/>
            <w:shd w:fill="1D2B3A"/>
          </w:tcPr>
          <w:p>
            <w:pPr>
              <w:spacing w:after="0" w:before="0"/>
            </w:pPr>
            <w:r/>
            <w:r>
              <w:rPr>
                <w:rFonts w:ascii="Aptos" w:hAnsi="Aptos"/>
                <w:b/>
                <w:color w:val="FFFFFF"/>
                <w:sz w:val="17"/>
              </w:rPr>
              <w:t>Connection for Study</w:t>
            </w:r>
          </w:p>
        </w:tc>
      </w:tr>
      <w:tr>
        <w:tc>
          <w:tcPr>
            <w:tcW w:type="dxa" w:w="5285"/>
            <w:vAlign w:val="center"/>
          </w:tcPr>
          <w:p>
            <w:pPr>
              <w:spacing w:after="0" w:before="0"/>
            </w:pPr>
            <w:r/>
            <w:r>
              <w:rPr>
                <w:rFonts w:ascii="Aptos" w:hAnsi="Aptos"/>
                <w:b/>
                <w:color w:val="1D2B3A"/>
                <w:sz w:val="17"/>
              </w:rPr>
              <w:t>1 Chronicles 29:14</w:t>
            </w:r>
          </w:p>
        </w:tc>
        <w:tc>
          <w:tcPr>
            <w:tcW w:type="dxa" w:w="5285"/>
            <w:vAlign w:val="center"/>
          </w:tcPr>
          <w:p>
            <w:pPr>
              <w:spacing w:after="0" w:before="0"/>
            </w:pPr>
            <w:r/>
            <w:r>
              <w:rPr>
                <w:rFonts w:ascii="Aptos" w:hAnsi="Aptos"/>
                <w:b w:val="0"/>
                <w:color w:val="1D2B3A"/>
                <w:sz w:val="17"/>
              </w:rPr>
              <w:t>Giving begins with God: we return what his hand has already given.</w:t>
            </w:r>
          </w:p>
        </w:tc>
      </w:tr>
      <w:tr>
        <w:tc>
          <w:tcPr>
            <w:tcW w:type="dxa" w:w="5285"/>
            <w:vAlign w:val="center"/>
          </w:tcPr>
          <w:p>
            <w:pPr>
              <w:spacing w:after="0" w:before="0"/>
            </w:pPr>
            <w:r/>
            <w:r>
              <w:rPr>
                <w:rFonts w:ascii="Aptos" w:hAnsi="Aptos"/>
                <w:b/>
                <w:color w:val="1D2B3A"/>
                <w:sz w:val="17"/>
              </w:rPr>
              <w:t>James 1:17</w:t>
            </w:r>
          </w:p>
        </w:tc>
        <w:tc>
          <w:tcPr>
            <w:tcW w:type="dxa" w:w="5285"/>
            <w:vAlign w:val="center"/>
          </w:tcPr>
          <w:p>
            <w:pPr>
              <w:spacing w:after="0" w:before="0"/>
            </w:pPr>
            <w:r/>
            <w:r>
              <w:rPr>
                <w:rFonts w:ascii="Aptos" w:hAnsi="Aptos"/>
                <w:b w:val="0"/>
                <w:color w:val="1D2B3A"/>
                <w:sz w:val="17"/>
              </w:rPr>
              <w:t>Every good and perfect gift comes from the Father of lights.</w:t>
            </w:r>
          </w:p>
        </w:tc>
      </w:tr>
      <w:tr>
        <w:tc>
          <w:tcPr>
            <w:tcW w:type="dxa" w:w="5285"/>
            <w:vAlign w:val="center"/>
          </w:tcPr>
          <w:p>
            <w:pPr>
              <w:spacing w:after="0" w:before="0"/>
            </w:pPr>
            <w:r/>
            <w:r>
              <w:rPr>
                <w:rFonts w:ascii="Aptos" w:hAnsi="Aptos"/>
                <w:b/>
                <w:color w:val="1D2B3A"/>
                <w:sz w:val="17"/>
              </w:rPr>
              <w:t>Psalm 24:1</w:t>
            </w:r>
          </w:p>
        </w:tc>
        <w:tc>
          <w:tcPr>
            <w:tcW w:type="dxa" w:w="5285"/>
            <w:vAlign w:val="center"/>
          </w:tcPr>
          <w:p>
            <w:pPr>
              <w:spacing w:after="0" w:before="0"/>
            </w:pPr>
            <w:r/>
            <w:r>
              <w:rPr>
                <w:rFonts w:ascii="Aptos" w:hAnsi="Aptos"/>
                <w:b w:val="0"/>
                <w:color w:val="1D2B3A"/>
                <w:sz w:val="17"/>
              </w:rPr>
              <w:t>The earth and all its fullness belong to the Lord.</w:t>
            </w:r>
          </w:p>
        </w:tc>
      </w:tr>
      <w:tr>
        <w:tc>
          <w:tcPr>
            <w:tcW w:type="dxa" w:w="5285"/>
            <w:vAlign w:val="center"/>
          </w:tcPr>
          <w:p>
            <w:pPr>
              <w:spacing w:after="0" w:before="0"/>
            </w:pPr>
            <w:r/>
            <w:r>
              <w:rPr>
                <w:rFonts w:ascii="Aptos" w:hAnsi="Aptos"/>
                <w:b/>
                <w:color w:val="1D2B3A"/>
                <w:sz w:val="17"/>
              </w:rPr>
              <w:t>Romans 11:36</w:t>
            </w:r>
          </w:p>
        </w:tc>
        <w:tc>
          <w:tcPr>
            <w:tcW w:type="dxa" w:w="5285"/>
            <w:vAlign w:val="center"/>
          </w:tcPr>
          <w:p>
            <w:pPr>
              <w:spacing w:after="0" w:before="0"/>
            </w:pPr>
            <w:r/>
            <w:r>
              <w:rPr>
                <w:rFonts w:ascii="Aptos" w:hAnsi="Aptos"/>
                <w:b w:val="0"/>
                <w:color w:val="1D2B3A"/>
                <w:sz w:val="17"/>
              </w:rPr>
              <w:t>All things are from God, through God, and to God.</w:t>
            </w:r>
          </w:p>
        </w:tc>
      </w:tr>
      <w:tr>
        <w:tc>
          <w:tcPr>
            <w:tcW w:type="dxa" w:w="5285"/>
            <w:vAlign w:val="center"/>
          </w:tcPr>
          <w:p>
            <w:pPr>
              <w:spacing w:after="0" w:before="0"/>
            </w:pPr>
            <w:r/>
            <w:r>
              <w:rPr>
                <w:rFonts w:ascii="Aptos" w:hAnsi="Aptos"/>
                <w:b/>
                <w:color w:val="1D2B3A"/>
                <w:sz w:val="17"/>
              </w:rPr>
              <w:t>2 Corinthians 9:7</w:t>
            </w:r>
          </w:p>
        </w:tc>
        <w:tc>
          <w:tcPr>
            <w:tcW w:type="dxa" w:w="5285"/>
            <w:vAlign w:val="center"/>
          </w:tcPr>
          <w:p>
            <w:pPr>
              <w:spacing w:after="0" w:before="0"/>
            </w:pPr>
            <w:r/>
            <w:r>
              <w:rPr>
                <w:rFonts w:ascii="Aptos" w:hAnsi="Aptos"/>
                <w:b w:val="0"/>
                <w:color w:val="1D2B3A"/>
                <w:sz w:val="17"/>
              </w:rPr>
              <w:t>Christian giving is willing and cheerful, not forced.</w:t>
            </w:r>
          </w:p>
        </w:tc>
      </w:tr>
    </w:tbl>
    <w:p>
      <w:pPr>
        <w:pStyle w:val="Heading1"/>
        <w:spacing w:before="80" w:after="30"/>
      </w:pPr>
      <w:r>
        <w:t>Movement of the Sentence</w:t>
      </w:r>
    </w:p>
    <w:p>
      <w:r>
        <w:rPr>
          <w:b/>
        </w:rPr>
        <w:t xml:space="preserve">God gives first: </w:t>
      </w:r>
      <w:r>
        <w:t>The sentence begins with the confession that every gift, resource, and opportunity starts in God’s generosity.</w:t>
      </w:r>
    </w:p>
    <w:p>
      <w:r>
        <w:rPr>
          <w:b/>
        </w:rPr>
        <w:t xml:space="preserve">The church returns in gratitude: </w:t>
      </w:r>
      <w:r>
        <w:t>Offering is not paying God back. It is returning, with thanksgiving, what already belongs to him.</w:t>
      </w:r>
    </w:p>
    <w:p>
      <w:r>
        <w:rPr>
          <w:b/>
        </w:rPr>
        <w:t xml:space="preserve">Generosity becomes humility: </w:t>
      </w:r>
      <w:r>
        <w:t>The words guard the congregation from pride. Even willing gifts are possible only because God has supplied them.</w:t>
      </w:r>
    </w:p>
    <w:p>
      <w:r>
        <w:rPr>
          <w:b/>
        </w:rPr>
        <w:t xml:space="preserve">Stewardship becomes discipleship: </w:t>
      </w:r>
      <w:r>
        <w:t>The offertory trains worshipers to hold all of life as a trust: possessions, work, time, talent, relationships, and service.</w:t>
      </w:r>
    </w:p>
    <w:p>
      <w:pPr>
        <w:pStyle w:val="Heading1"/>
        <w:spacing w:before="80" w:after="30"/>
      </w:pPr>
      <w:r>
        <w:t>Study Table</w:t>
      </w:r>
    </w:p>
    <w:tbl>
      <w:tblPr>
        <w:tblStyle w:val="TableGrid"/>
        <w:tblW w:type="auto" w:w="0"/>
        <w:jc w:val="center"/>
        <w:tblLook w:firstColumn="1" w:firstRow="1" w:lastColumn="0" w:lastRow="0" w:noHBand="0" w:noVBand="1" w:val="04A0"/>
      </w:tblPr>
      <w:tblGrid>
        <w:gridCol w:w="3523"/>
        <w:gridCol w:w="3523"/>
        <w:gridCol w:w="3523"/>
      </w:tblGrid>
      <w:tr>
        <w:tc>
          <w:tcPr>
            <w:tcW w:type="dxa" w:w="3523"/>
            <w:vAlign w:val="center"/>
            <w:shd w:fill="6D4F2A"/>
          </w:tcPr>
          <w:p>
            <w:pPr>
              <w:spacing w:after="0" w:before="0"/>
            </w:pPr>
            <w:r/>
            <w:r>
              <w:rPr>
                <w:rFonts w:ascii="Aptos" w:hAnsi="Aptos"/>
                <w:b/>
                <w:color w:val="FFFFFF"/>
                <w:sz w:val="17"/>
              </w:rPr>
              <w:t>Theme</w:t>
            </w:r>
          </w:p>
        </w:tc>
        <w:tc>
          <w:tcPr>
            <w:tcW w:type="dxa" w:w="3523"/>
            <w:vAlign w:val="center"/>
            <w:shd w:fill="6D4F2A"/>
          </w:tcPr>
          <w:p>
            <w:pPr>
              <w:spacing w:after="0" w:before="0"/>
            </w:pPr>
            <w:r/>
            <w:r>
              <w:rPr>
                <w:rFonts w:ascii="Aptos" w:hAnsi="Aptos"/>
                <w:b/>
                <w:color w:val="FFFFFF"/>
                <w:sz w:val="17"/>
              </w:rPr>
              <w:t>Scripture Connection</w:t>
            </w:r>
          </w:p>
        </w:tc>
        <w:tc>
          <w:tcPr>
            <w:tcW w:type="dxa" w:w="3523"/>
            <w:vAlign w:val="center"/>
            <w:shd w:fill="6D4F2A"/>
          </w:tcPr>
          <w:p>
            <w:pPr>
              <w:spacing w:after="0" w:before="0"/>
            </w:pPr>
            <w:r/>
            <w:r>
              <w:rPr>
                <w:rFonts w:ascii="Aptos" w:hAnsi="Aptos"/>
                <w:b/>
                <w:color w:val="FFFFFF"/>
                <w:sz w:val="17"/>
              </w:rPr>
              <w:t>Discussion Prompt</w:t>
            </w:r>
          </w:p>
        </w:tc>
      </w:tr>
      <w:tr>
        <w:tc>
          <w:tcPr>
            <w:tcW w:type="dxa" w:w="3523"/>
            <w:vAlign w:val="center"/>
          </w:tcPr>
          <w:p>
            <w:pPr>
              <w:spacing w:after="0" w:before="0"/>
            </w:pPr>
            <w:r/>
            <w:r>
              <w:rPr>
                <w:rFonts w:ascii="Aptos" w:hAnsi="Aptos"/>
                <w:b w:val="0"/>
                <w:color w:val="1D2B3A"/>
                <w:sz w:val="17"/>
              </w:rPr>
              <w:t>God’s ownership</w:t>
            </w:r>
          </w:p>
        </w:tc>
        <w:tc>
          <w:tcPr>
            <w:tcW w:type="dxa" w:w="3523"/>
            <w:vAlign w:val="center"/>
          </w:tcPr>
          <w:p>
            <w:pPr>
              <w:spacing w:after="0" w:before="0"/>
            </w:pPr>
            <w:r/>
            <w:r>
              <w:rPr>
                <w:rFonts w:ascii="Aptos" w:hAnsi="Aptos"/>
                <w:b w:val="0"/>
                <w:color w:val="1D2B3A"/>
                <w:sz w:val="17"/>
              </w:rPr>
              <w:t>Psalm 24:1</w:t>
            </w:r>
          </w:p>
        </w:tc>
        <w:tc>
          <w:tcPr>
            <w:tcW w:type="dxa" w:w="3523"/>
            <w:vAlign w:val="center"/>
          </w:tcPr>
          <w:p>
            <w:pPr>
              <w:spacing w:after="0" w:before="0"/>
            </w:pPr>
            <w:r/>
            <w:r>
              <w:rPr>
                <w:rFonts w:ascii="Aptos" w:hAnsi="Aptos"/>
                <w:b w:val="0"/>
                <w:color w:val="1D2B3A"/>
                <w:sz w:val="17"/>
              </w:rPr>
              <w:t>What changes when we begin with “The earth is the Lord’s”?</w:t>
            </w:r>
          </w:p>
        </w:tc>
      </w:tr>
      <w:tr>
        <w:tc>
          <w:tcPr>
            <w:tcW w:type="dxa" w:w="3523"/>
            <w:vAlign w:val="center"/>
          </w:tcPr>
          <w:p>
            <w:pPr>
              <w:spacing w:after="0" w:before="0"/>
            </w:pPr>
            <w:r/>
            <w:r>
              <w:rPr>
                <w:rFonts w:ascii="Aptos" w:hAnsi="Aptos"/>
                <w:b w:val="0"/>
                <w:color w:val="1D2B3A"/>
                <w:sz w:val="17"/>
              </w:rPr>
              <w:t>Grateful return</w:t>
            </w:r>
          </w:p>
        </w:tc>
        <w:tc>
          <w:tcPr>
            <w:tcW w:type="dxa" w:w="3523"/>
            <w:vAlign w:val="center"/>
          </w:tcPr>
          <w:p>
            <w:pPr>
              <w:spacing w:after="0" w:before="0"/>
            </w:pPr>
            <w:r/>
            <w:r>
              <w:rPr>
                <w:rFonts w:ascii="Aptos" w:hAnsi="Aptos"/>
                <w:b w:val="0"/>
                <w:color w:val="1D2B3A"/>
                <w:sz w:val="17"/>
              </w:rPr>
              <w:t>1 Chronicles 29:14</w:t>
            </w:r>
          </w:p>
        </w:tc>
        <w:tc>
          <w:tcPr>
            <w:tcW w:type="dxa" w:w="3523"/>
            <w:vAlign w:val="center"/>
          </w:tcPr>
          <w:p>
            <w:pPr>
              <w:spacing w:after="0" w:before="0"/>
            </w:pPr>
            <w:r/>
            <w:r>
              <w:rPr>
                <w:rFonts w:ascii="Aptos" w:hAnsi="Aptos"/>
                <w:b w:val="0"/>
                <w:color w:val="1D2B3A"/>
                <w:sz w:val="17"/>
              </w:rPr>
              <w:t>How does this verse reshape the offering?</w:t>
            </w:r>
          </w:p>
        </w:tc>
      </w:tr>
      <w:tr>
        <w:tc>
          <w:tcPr>
            <w:tcW w:type="dxa" w:w="3523"/>
            <w:vAlign w:val="center"/>
          </w:tcPr>
          <w:p>
            <w:pPr>
              <w:spacing w:after="0" w:before="0"/>
            </w:pPr>
            <w:r/>
            <w:r>
              <w:rPr>
                <w:rFonts w:ascii="Aptos" w:hAnsi="Aptos"/>
                <w:b w:val="0"/>
                <w:color w:val="1D2B3A"/>
                <w:sz w:val="17"/>
              </w:rPr>
              <w:t>Daily gifts</w:t>
            </w:r>
          </w:p>
        </w:tc>
        <w:tc>
          <w:tcPr>
            <w:tcW w:type="dxa" w:w="3523"/>
            <w:vAlign w:val="center"/>
          </w:tcPr>
          <w:p>
            <w:pPr>
              <w:spacing w:after="0" w:before="0"/>
            </w:pPr>
            <w:r/>
            <w:r>
              <w:rPr>
                <w:rFonts w:ascii="Aptos" w:hAnsi="Aptos"/>
                <w:b w:val="0"/>
                <w:color w:val="1D2B3A"/>
                <w:sz w:val="17"/>
              </w:rPr>
              <w:t>James 1:17</w:t>
            </w:r>
          </w:p>
        </w:tc>
        <w:tc>
          <w:tcPr>
            <w:tcW w:type="dxa" w:w="3523"/>
            <w:vAlign w:val="center"/>
          </w:tcPr>
          <w:p>
            <w:pPr>
              <w:spacing w:after="0" w:before="0"/>
            </w:pPr>
            <w:r/>
            <w:r>
              <w:rPr>
                <w:rFonts w:ascii="Aptos" w:hAnsi="Aptos"/>
                <w:b w:val="0"/>
                <w:color w:val="1D2B3A"/>
                <w:sz w:val="17"/>
              </w:rPr>
              <w:t>Which gifts are easy to take for granted?</w:t>
            </w:r>
          </w:p>
        </w:tc>
      </w:tr>
      <w:tr>
        <w:tc>
          <w:tcPr>
            <w:tcW w:type="dxa" w:w="3523"/>
            <w:vAlign w:val="center"/>
          </w:tcPr>
          <w:p>
            <w:pPr>
              <w:spacing w:after="0" w:before="0"/>
            </w:pPr>
            <w:r/>
            <w:r>
              <w:rPr>
                <w:rFonts w:ascii="Aptos" w:hAnsi="Aptos"/>
                <w:b w:val="0"/>
                <w:color w:val="1D2B3A"/>
                <w:sz w:val="17"/>
              </w:rPr>
              <w:t>Cheerful giving</w:t>
            </w:r>
          </w:p>
        </w:tc>
        <w:tc>
          <w:tcPr>
            <w:tcW w:type="dxa" w:w="3523"/>
            <w:vAlign w:val="center"/>
          </w:tcPr>
          <w:p>
            <w:pPr>
              <w:spacing w:after="0" w:before="0"/>
            </w:pPr>
            <w:r/>
            <w:r>
              <w:rPr>
                <w:rFonts w:ascii="Aptos" w:hAnsi="Aptos"/>
                <w:b w:val="0"/>
                <w:color w:val="1D2B3A"/>
                <w:sz w:val="17"/>
              </w:rPr>
              <w:t>2 Corinthians 9:7</w:t>
            </w:r>
          </w:p>
        </w:tc>
        <w:tc>
          <w:tcPr>
            <w:tcW w:type="dxa" w:w="3523"/>
            <w:vAlign w:val="center"/>
          </w:tcPr>
          <w:p>
            <w:pPr>
              <w:spacing w:after="0" w:before="0"/>
            </w:pPr>
            <w:r/>
            <w:r>
              <w:rPr>
                <w:rFonts w:ascii="Aptos" w:hAnsi="Aptos"/>
                <w:b w:val="0"/>
                <w:color w:val="1D2B3A"/>
                <w:sz w:val="17"/>
              </w:rPr>
              <w:t>What helps generosity become willing rather than pressured?</w:t>
            </w:r>
          </w:p>
        </w:tc>
      </w:tr>
    </w:tbl>
    <w:p>
      <w:pPr>
        <w:pStyle w:val="Heading1"/>
        <w:spacing w:before="80" w:after="30"/>
      </w:pPr>
      <w:r>
        <w:t>Discussion Questions</w:t>
      </w:r>
    </w:p>
    <w:p>
      <w:pPr>
        <w:pStyle w:val="CompactList"/>
      </w:pPr>
      <w:r>
        <w:rPr>
          <w:b/>
        </w:rPr>
        <w:t xml:space="preserve">• </w:t>
      </w:r>
      <w:r>
        <w:t>Why does David ask, “Who am I, and what is my people?” before speaking about offerings?</w:t>
      </w:r>
    </w:p>
    <w:p>
      <w:pPr>
        <w:pStyle w:val="CompactList"/>
      </w:pPr>
      <w:r>
        <w:rPr>
          <w:b/>
        </w:rPr>
        <w:t xml:space="preserve">• </w:t>
      </w:r>
      <w:r>
        <w:t>How does this sentence challenge both pride and reluctance in giving?</w:t>
      </w:r>
    </w:p>
    <w:p>
      <w:pPr>
        <w:pStyle w:val="CompactList"/>
      </w:pPr>
      <w:r>
        <w:rPr>
          <w:b/>
        </w:rPr>
        <w:t xml:space="preserve">• </w:t>
      </w:r>
      <w:r>
        <w:t>What is the difference between giving as obligation and giving as worship?</w:t>
      </w:r>
    </w:p>
    <w:p>
      <w:pPr>
        <w:pStyle w:val="CompactList"/>
      </w:pPr>
      <w:r>
        <w:rPr>
          <w:b/>
        </w:rPr>
        <w:t xml:space="preserve">• </w:t>
      </w:r>
      <w:r>
        <w:t>How can a church teach stewardship without reducing worship to fundraising?</w:t>
      </w:r>
    </w:p>
    <w:p>
      <w:pPr>
        <w:pStyle w:val="CompactList"/>
      </w:pPr>
      <w:r>
        <w:rPr>
          <w:b/>
        </w:rPr>
        <w:t xml:space="preserve">• </w:t>
      </w:r>
      <w:r>
        <w:t>Where do you see God’s provision in ordinary life this week?</w:t>
      </w:r>
    </w:p>
    <w:p>
      <w:pPr>
        <w:pStyle w:val="CompactList"/>
      </w:pPr>
      <w:r>
        <w:rPr>
          <w:b/>
        </w:rPr>
        <w:t xml:space="preserve">• </w:t>
      </w:r>
      <w:r>
        <w:t>How might our group practice generosity with time, attention, hospitality, or encouragement?</w:t>
      </w:r>
    </w:p>
    <w:p>
      <w:pPr>
        <w:pStyle w:val="CompactList"/>
      </w:pPr>
      <w:r>
        <w:rPr>
          <w:b/>
        </w:rPr>
        <w:t xml:space="preserve">• </w:t>
      </w:r>
      <w:r>
        <w:t>What would change if the offertory were treated as a congregational confession?</w:t>
      </w:r>
    </w:p>
    <w:p>
      <w:pPr>
        <w:pStyle w:val="Heading1"/>
        <w:spacing w:before="80" w:after="30"/>
      </w:pPr>
      <w:r>
        <w:t>Practice This Week</w:t>
      </w:r>
    </w:p>
    <w:p>
      <w:pPr>
        <w:pStyle w:val="CompactList"/>
      </w:pPr>
      <w:r>
        <w:rPr>
          <w:b/>
        </w:rPr>
        <w:t xml:space="preserve">• </w:t>
      </w:r>
      <w:r>
        <w:t>Pray 1 Chronicles 29:14 before making a financial decision or offering a gift.</w:t>
      </w:r>
    </w:p>
    <w:p>
      <w:pPr>
        <w:pStyle w:val="CompactList"/>
      </w:pPr>
      <w:r>
        <w:rPr>
          <w:b/>
        </w:rPr>
        <w:t xml:space="preserve">• </w:t>
      </w:r>
      <w:r>
        <w:t>Name three gifts from God each day: one material, one relational, and one spiritual.</w:t>
      </w:r>
    </w:p>
    <w:p>
      <w:pPr>
        <w:pStyle w:val="CompactList"/>
      </w:pPr>
      <w:r>
        <w:rPr>
          <w:b/>
        </w:rPr>
        <w:t xml:space="preserve">• </w:t>
      </w:r>
      <w:r>
        <w:t>Give one act of generosity quietly, without seeking recognition.</w:t>
      </w:r>
    </w:p>
    <w:p>
      <w:pPr>
        <w:pStyle w:val="CompactList"/>
      </w:pPr>
      <w:r>
        <w:rPr>
          <w:b/>
        </w:rPr>
        <w:t xml:space="preserve">• </w:t>
      </w:r>
      <w:r>
        <w:t>Use the offertory in worship as a moment to offer your whole life back to God.</w:t>
      </w:r>
    </w:p>
    <w:p>
      <w:pPr>
        <w:pStyle w:val="Heading1"/>
        <w:spacing w:before="80" w:after="30"/>
      </w:pPr>
      <w:r>
        <w:t>Leader Notes</w:t>
      </w:r>
    </w:p>
    <w:p>
      <w:r>
        <w:t>Keep the discussion warm and practical. This lesson is not mainly a financial appeal; it is a theology of gratitude. Help the group connect offering with worship, discipleship, humility, and trust in God’s provision.</w:t>
      </w:r>
    </w:p>
    <w:p>
      <w:pPr>
        <w:pStyle w:val="Heading1"/>
        <w:spacing w:before="80" w:after="30"/>
      </w:pPr>
      <w:r>
        <w:t>Closing Prayer</w:t>
      </w:r>
    </w:p>
    <w:p>
      <w:r>
        <w:t>Generous God, all that we have comes from your hand. Teach us to receive with gratitude, to give with humility, and to use every gift for your glory and the good of others. Make our offerings a true act of worship. Amen.</w:t>
      </w:r>
    </w:p>
    <w:p>
      <w:pPr>
        <w:jc w:val="center"/>
      </w:pPr>
      <w:r>
        <w:rPr>
          <w:color w:val="646464"/>
          <w:sz w:val="14"/>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49" w:right="835" w:bottom="792" w:left="83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646464"/>
        <w:sz w:val="15"/>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w:hAnsi="Aptos" w:eastAsia="Aptos"/>
      <w:b/>
      <w:bCs/>
      <w:color w:val="1D2B3A"/>
      <w:sz w:val="25"/>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eastAsia="Aptos"/>
      <w:b/>
      <w:bCs/>
      <w:color w:val="6D4F2A"/>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eastAsia="Aptos Display"/>
      <w:b/>
      <w:color w:val="1D2B3A"/>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mpactList">
    <w:name w:val="Compact List"/>
    <w:pPr>
      <w:spacing w:after="24" w:before="0"/>
      <w:ind w:left="259" w:hanging="173"/>
    </w:pPr>
    <w:rPr>
      <w:rFonts w:ascii="Aptos" w:hAnsi="Aptos"/>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 Things Come of Thee Small Group Handout</dc:title>
  <dc:subject>Hymn study resource</dc:subject>
  <dc:creator>HymnInfo.com</dc:creator>
  <cp:keywords>hymn study, Christian worship, church teaching, HymnInfo</cp:keywords>
  <dc:description/>
  <cp:lastModifiedBy>HymnInfo.com</cp:lastModifiedBy>
  <cp:revision>1</cp:revision>
  <dcterms:created xsi:type="dcterms:W3CDTF">2013-12-23T23:15:00Z</dcterms:created>
  <dcterms:modified xsi:type="dcterms:W3CDTF">2013-12-23T23:15:00Z</dcterms:modified>
  <cp:category>Hymn study resource</cp:category>
</cp:coreProperties>
</file>