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802727"/>
          <w:sz w:val="40"/>
        </w:rPr>
        <w:t>Are Ye Able</w:t>
      </w:r>
    </w:p>
    <w:p>
      <w:pPr>
        <w:jc w:val="center"/>
      </w:pPr>
      <w:r>
        <w:rPr>
          <w:i/>
          <w:sz w:val="21"/>
        </w:rPr>
        <w:t>A small group study on costly discipleship and grace-shaped commitment</w:t>
      </w:r>
    </w:p>
    <w:p>
      <w:pPr>
        <w:pStyle w:val="Heading2"/>
      </w:pPr>
      <w:r>
        <w:rPr>
          <w:rFonts w:ascii="Georgia" w:hAnsi="Georgia"/>
          <w:color w:val="802727"/>
        </w:rPr>
        <w:t>Purpose of the Study</w:t>
      </w:r>
    </w:p>
    <w:p>
      <w:pPr>
        <w:spacing w:after="120" w:line="252" w:lineRule="auto"/>
      </w:pPr>
      <w:r>
        <w:rPr>
          <w:sz w:val="21"/>
        </w:rPr>
        <w:t>This study helps a group hear Christ’s searching question in Mark 10 and respond with humble, practical commitment. The hymn is best approached not as a boast of human strength, but as a prayer that Christ will make his people faithful.</w:t>
      </w:r>
    </w:p>
    <w:p>
      <w:pPr>
        <w:pStyle w:val="Heading2"/>
      </w:pPr>
      <w:r>
        <w:rPr>
          <w:rFonts w:ascii="Georgia" w:hAnsi="Georgia"/>
          <w:color w:val="802727"/>
        </w:rPr>
        <w:t>Opening Reflection</w:t>
      </w:r>
    </w:p>
    <w:p>
      <w:pPr>
        <w:pStyle w:val="ListBullet"/>
        <w:spacing w:after="60"/>
      </w:pPr>
      <w:r>
        <w:rPr>
          <w:sz w:val="21"/>
        </w:rPr>
        <w:t>When have you discovered that following Christ required more courage than you expected?</w:t>
      </w:r>
    </w:p>
    <w:p>
      <w:pPr>
        <w:pStyle w:val="ListBullet"/>
        <w:spacing w:after="60"/>
      </w:pPr>
      <w:r>
        <w:rPr>
          <w:sz w:val="21"/>
        </w:rPr>
        <w:t>What is the difference between enthusiasm for Jesus and obedience to Jesus?</w:t>
      </w:r>
    </w:p>
    <w:p>
      <w:pPr>
        <w:pStyle w:val="ListBullet"/>
        <w:spacing w:after="60"/>
      </w:pPr>
      <w:r>
        <w:rPr>
          <w:sz w:val="21"/>
        </w:rPr>
        <w:t>How can a congregation encourage commitment without pressuring people into empty promises?</w:t>
      </w:r>
    </w:p>
    <w:p>
      <w:pPr>
        <w:pStyle w:val="Heading2"/>
      </w:pPr>
      <w:r>
        <w:rPr>
          <w:rFonts w:ascii="Georgia" w:hAnsi="Georgia"/>
          <w:color w:val="802727"/>
        </w:rPr>
        <w:t>Brief Hymn Background</w:t>
      </w:r>
    </w:p>
    <w:p>
      <w:pPr>
        <w:spacing w:after="120" w:line="252" w:lineRule="auto"/>
      </w:pPr>
      <w:r>
        <w:rPr>
          <w:sz w:val="21"/>
        </w:rPr>
        <w:t>Earl Bowman Marlatt wrote Are Ye Able in 1926 for a Boston University consecration service. The original title was Challenge, a fitting name for a hymn shaped by Christ’s question to his disciples. Five stanzas were later printed in The American Student Hymnal in 1928.</w:t>
      </w:r>
    </w:p>
    <w:p>
      <w:pPr>
        <w:spacing w:after="120" w:line="252" w:lineRule="auto"/>
      </w:pPr>
      <w:r>
        <w:rPr>
          <w:sz w:val="21"/>
        </w:rPr>
        <w:t>Harry Silvernale Mason composed the tune BEACON HILL in 1924. Its firm, processional character supports the hymn’s themes of discipleship, mission, and consecrated service.</w:t>
      </w:r>
    </w:p>
    <w:p>
      <w:pPr>
        <w:pStyle w:val="Heading2"/>
      </w:pPr>
      <w:r>
        <w:rPr>
          <w:rFonts w:ascii="Georgia" w:hAnsi="Georgia"/>
          <w:color w:val="802727"/>
        </w:rPr>
        <w:t>Scripture for the Study</w:t>
      </w:r>
    </w:p>
    <w:p>
      <w:pPr>
        <w:spacing w:after="120" w:line="252" w:lineRule="auto"/>
      </w:pPr>
      <w:r>
        <w:rPr>
          <w:sz w:val="21"/>
        </w:rPr>
        <w:t>Primary text: Mark 10:38-39. Jesus asks whether the disciples are able to share his cup and baptism. Supporting passages: Luke 9:23; Romans 12:1; Romans 8:17; Philippians 3:10.</w:t>
      </w:r>
    </w:p>
    <w:p>
      <w:pPr>
        <w:pStyle w:val="Heading2"/>
      </w:pPr>
      <w:r>
        <w:rPr>
          <w:rFonts w:ascii="Georgia" w:hAnsi="Georgia"/>
          <w:color w:val="802727"/>
        </w:rPr>
        <w:t>Hymn-Section Study</w:t>
      </w:r>
    </w:p>
    <w:p>
      <w:pPr>
        <w:spacing w:after="120" w:line="252" w:lineRule="auto"/>
      </w:pPr>
      <w:r>
        <w:rPr>
          <w:sz w:val="21"/>
        </w:rPr>
        <w:t>The Master’s Question: The hymn begins with Christ’s searching challenge. In the Gospel setting, the disciples do not yet understand what they are asking. The question slows us down and teaches us to listen before we answer.</w:t>
      </w:r>
    </w:p>
    <w:p>
      <w:pPr>
        <w:spacing w:after="120" w:line="252" w:lineRule="auto"/>
      </w:pPr>
      <w:r>
        <w:rPr>
          <w:sz w:val="21"/>
        </w:rPr>
        <w:t>The Cross-Shaped Path: The hymn presses singers toward sacrifice, service, and persevering loyalty. Luke 9:23 helps frame the call: to follow Jesus is to deny self and take up the cross.</w:t>
      </w:r>
    </w:p>
    <w:p>
      <w:pPr>
        <w:spacing w:after="120" w:line="252" w:lineRule="auto"/>
      </w:pPr>
      <w:r>
        <w:rPr>
          <w:sz w:val="21"/>
        </w:rPr>
        <w:t>Consecrated Service: The hymn was born in a dedication setting and still works well when the church prays over vocation, ministry, mission, and daily obedience.</w:t>
      </w:r>
    </w:p>
    <w:p>
      <w:pPr>
        <w:spacing w:after="120" w:line="252" w:lineRule="auto"/>
      </w:pPr>
      <w:r>
        <w:rPr>
          <w:sz w:val="21"/>
        </w:rPr>
        <w:t>The Congregation’s Answer: The hymn’s repeated answer should be heard as prayer. We do not follow Christ by sheer willpower. We ask the Lord to form courage, humility, and steadfast love in us.</w:t>
      </w:r>
    </w:p>
    <w:p>
      <w:pPr>
        <w:pStyle w:val="Heading2"/>
      </w:pPr>
      <w:r>
        <w:rPr>
          <w:rFonts w:ascii="Georgia" w:hAnsi="Georgia"/>
          <w:color w:val="802727"/>
        </w:rP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top"/>
            <w:shd w:fill="802727"/>
          </w:tcPr>
          <w:p>
            <w:pPr>
              <w:spacing w:after="40"/>
            </w:pPr>
            <w:r/>
            <w:r>
              <w:rPr>
                <w:b/>
                <w:color w:val="FFFFFF"/>
                <w:sz w:val="19"/>
              </w:rPr>
              <w:t>Hymn Theme</w:t>
            </w:r>
          </w:p>
        </w:tc>
        <w:tc>
          <w:tcPr>
            <w:tcW w:type="dxa" w:w="3456"/>
            <w:vAlign w:val="top"/>
            <w:shd w:fill="802727"/>
          </w:tcPr>
          <w:p>
            <w:pPr>
              <w:spacing w:after="40"/>
            </w:pPr>
            <w:r/>
            <w:r>
              <w:rPr>
                <w:b/>
                <w:color w:val="FFFFFF"/>
                <w:sz w:val="19"/>
              </w:rPr>
              <w:t>Scripture Connection</w:t>
            </w:r>
          </w:p>
        </w:tc>
        <w:tc>
          <w:tcPr>
            <w:tcW w:type="dxa" w:w="3456"/>
            <w:vAlign w:val="top"/>
            <w:shd w:fill="802727"/>
          </w:tcPr>
          <w:p>
            <w:pPr>
              <w:spacing w:after="40"/>
            </w:pPr>
            <w:r/>
            <w:r>
              <w:rPr>
                <w:b/>
                <w:color w:val="FFFFFF"/>
                <w:sz w:val="19"/>
              </w:rPr>
              <w:t>Discussion Prompt</w:t>
            </w:r>
          </w:p>
        </w:tc>
      </w:tr>
      <w:tr>
        <w:tc>
          <w:tcPr>
            <w:tcW w:type="dxa" w:w="3456"/>
            <w:vAlign w:val="top"/>
          </w:tcPr>
          <w:p>
            <w:pPr>
              <w:spacing w:after="40"/>
            </w:pPr>
            <w:r/>
            <w:r>
              <w:rPr>
                <w:b w:val="0"/>
                <w:color w:val="000000"/>
                <w:sz w:val="18"/>
              </w:rPr>
              <w:t>Costly discipleship</w:t>
            </w:r>
          </w:p>
        </w:tc>
        <w:tc>
          <w:tcPr>
            <w:tcW w:type="dxa" w:w="3456"/>
            <w:vAlign w:val="top"/>
          </w:tcPr>
          <w:p>
            <w:pPr>
              <w:spacing w:after="40"/>
            </w:pPr>
            <w:r/>
            <w:r>
              <w:rPr>
                <w:b w:val="0"/>
                <w:color w:val="000000"/>
                <w:sz w:val="18"/>
              </w:rPr>
              <w:t>Mark 10:38-39</w:t>
            </w:r>
          </w:p>
        </w:tc>
        <w:tc>
          <w:tcPr>
            <w:tcW w:type="dxa" w:w="3456"/>
            <w:vAlign w:val="top"/>
          </w:tcPr>
          <w:p>
            <w:pPr>
              <w:spacing w:after="40"/>
            </w:pPr>
            <w:r/>
            <w:r>
              <w:rPr>
                <w:b w:val="0"/>
                <w:color w:val="000000"/>
                <w:sz w:val="18"/>
              </w:rPr>
              <w:t>What does Jesus’ question reveal about the cost of following him?</w:t>
            </w:r>
          </w:p>
        </w:tc>
      </w:tr>
      <w:tr>
        <w:tc>
          <w:tcPr>
            <w:tcW w:type="dxa" w:w="3456"/>
            <w:vAlign w:val="top"/>
          </w:tcPr>
          <w:p>
            <w:pPr>
              <w:spacing w:after="40"/>
            </w:pPr>
            <w:r/>
            <w:r>
              <w:rPr>
                <w:b w:val="0"/>
                <w:color w:val="000000"/>
                <w:sz w:val="18"/>
              </w:rPr>
              <w:t>Taking up the cross</w:t>
            </w:r>
          </w:p>
        </w:tc>
        <w:tc>
          <w:tcPr>
            <w:tcW w:type="dxa" w:w="3456"/>
            <w:vAlign w:val="top"/>
          </w:tcPr>
          <w:p>
            <w:pPr>
              <w:spacing w:after="40"/>
            </w:pPr>
            <w:r/>
            <w:r>
              <w:rPr>
                <w:b w:val="0"/>
                <w:color w:val="000000"/>
                <w:sz w:val="18"/>
              </w:rPr>
              <w:t>Luke 9:23</w:t>
            </w:r>
          </w:p>
        </w:tc>
        <w:tc>
          <w:tcPr>
            <w:tcW w:type="dxa" w:w="3456"/>
            <w:vAlign w:val="top"/>
          </w:tcPr>
          <w:p>
            <w:pPr>
              <w:spacing w:after="40"/>
            </w:pPr>
            <w:r/>
            <w:r>
              <w:rPr>
                <w:b w:val="0"/>
                <w:color w:val="000000"/>
                <w:sz w:val="18"/>
              </w:rPr>
              <w:t>Where does obedience require self-denial in ordinary life?</w:t>
            </w:r>
          </w:p>
        </w:tc>
      </w:tr>
      <w:tr>
        <w:tc>
          <w:tcPr>
            <w:tcW w:type="dxa" w:w="3456"/>
            <w:vAlign w:val="top"/>
          </w:tcPr>
          <w:p>
            <w:pPr>
              <w:spacing w:after="40"/>
            </w:pPr>
            <w:r/>
            <w:r>
              <w:rPr>
                <w:b w:val="0"/>
                <w:color w:val="000000"/>
                <w:sz w:val="18"/>
              </w:rPr>
              <w:t>Living sacrifice</w:t>
            </w:r>
          </w:p>
        </w:tc>
        <w:tc>
          <w:tcPr>
            <w:tcW w:type="dxa" w:w="3456"/>
            <w:vAlign w:val="top"/>
          </w:tcPr>
          <w:p>
            <w:pPr>
              <w:spacing w:after="40"/>
            </w:pPr>
            <w:r/>
            <w:r>
              <w:rPr>
                <w:b w:val="0"/>
                <w:color w:val="000000"/>
                <w:sz w:val="18"/>
              </w:rPr>
              <w:t>Romans 12:1</w:t>
            </w:r>
          </w:p>
        </w:tc>
        <w:tc>
          <w:tcPr>
            <w:tcW w:type="dxa" w:w="3456"/>
            <w:vAlign w:val="top"/>
          </w:tcPr>
          <w:p>
            <w:pPr>
              <w:spacing w:after="40"/>
            </w:pPr>
            <w:r/>
            <w:r>
              <w:rPr>
                <w:b w:val="0"/>
                <w:color w:val="000000"/>
                <w:sz w:val="18"/>
              </w:rPr>
              <w:t>What part of daily life needs to be offered to God this week?</w:t>
            </w:r>
          </w:p>
        </w:tc>
      </w:tr>
      <w:tr>
        <w:tc>
          <w:tcPr>
            <w:tcW w:type="dxa" w:w="3456"/>
            <w:vAlign w:val="top"/>
          </w:tcPr>
          <w:p>
            <w:pPr>
              <w:spacing w:after="40"/>
            </w:pPr>
            <w:r/>
            <w:r>
              <w:rPr>
                <w:b w:val="0"/>
                <w:color w:val="000000"/>
                <w:sz w:val="18"/>
              </w:rPr>
              <w:t>Grace-shaped courage</w:t>
            </w:r>
          </w:p>
        </w:tc>
        <w:tc>
          <w:tcPr>
            <w:tcW w:type="dxa" w:w="3456"/>
            <w:vAlign w:val="top"/>
          </w:tcPr>
          <w:p>
            <w:pPr>
              <w:spacing w:after="40"/>
            </w:pPr>
            <w:r/>
            <w:r>
              <w:rPr>
                <w:b w:val="0"/>
                <w:color w:val="000000"/>
                <w:sz w:val="18"/>
              </w:rPr>
              <w:t>Philippians 3:10</w:t>
            </w:r>
          </w:p>
        </w:tc>
        <w:tc>
          <w:tcPr>
            <w:tcW w:type="dxa" w:w="3456"/>
            <w:vAlign w:val="top"/>
          </w:tcPr>
          <w:p>
            <w:pPr>
              <w:spacing w:after="40"/>
            </w:pPr>
            <w:r/>
            <w:r>
              <w:rPr>
                <w:b w:val="0"/>
                <w:color w:val="000000"/>
                <w:sz w:val="18"/>
              </w:rPr>
              <w:t>How does union with Christ keep commitment from becoming self-reliance?</w:t>
            </w:r>
          </w:p>
        </w:tc>
      </w:tr>
    </w:tbl>
    <w:p>
      <w:pPr>
        <w:pStyle w:val="Heading2"/>
      </w:pPr>
      <w:r>
        <w:rPr>
          <w:rFonts w:ascii="Georgia" w:hAnsi="Georgia"/>
          <w:color w:val="802727"/>
        </w:rPr>
        <w:t>Discussion Questions</w:t>
      </w:r>
    </w:p>
    <w:p>
      <w:pPr>
        <w:pStyle w:val="ListBullet"/>
        <w:spacing w:after="60"/>
      </w:pPr>
      <w:r>
        <w:rPr>
          <w:sz w:val="21"/>
        </w:rPr>
        <w:t>What stands out to you about Jesus’ question in Mark 10?</w:t>
      </w:r>
    </w:p>
    <w:p>
      <w:pPr>
        <w:pStyle w:val="ListBullet"/>
        <w:spacing w:after="60"/>
      </w:pPr>
      <w:r>
        <w:rPr>
          <w:sz w:val="21"/>
        </w:rPr>
        <w:t>How does the hymn challenge a comfortable view of Christian life?</w:t>
      </w:r>
    </w:p>
    <w:p>
      <w:pPr>
        <w:pStyle w:val="ListBullet"/>
        <w:spacing w:after="60"/>
      </w:pPr>
      <w:r>
        <w:rPr>
          <w:sz w:val="21"/>
        </w:rPr>
        <w:t>Why is the congregation’s answer best understood as prayer?</w:t>
      </w:r>
    </w:p>
    <w:p>
      <w:pPr>
        <w:pStyle w:val="ListBullet"/>
        <w:spacing w:after="60"/>
      </w:pPr>
      <w:r>
        <w:rPr>
          <w:sz w:val="21"/>
        </w:rPr>
        <w:t>What forms of service might God be asking from this group or church?</w:t>
      </w:r>
    </w:p>
    <w:p>
      <w:pPr>
        <w:pStyle w:val="ListBullet"/>
        <w:spacing w:after="60"/>
      </w:pPr>
      <w:r>
        <w:rPr>
          <w:sz w:val="21"/>
        </w:rPr>
        <w:t>How can courage and humility grow together?</w:t>
      </w:r>
    </w:p>
    <w:p>
      <w:pPr>
        <w:pStyle w:val="ListBullet"/>
        <w:spacing w:after="60"/>
      </w:pPr>
      <w:r>
        <w:rPr>
          <w:sz w:val="21"/>
        </w:rPr>
        <w:t>What would faithful obedience look like for you this week?</w:t>
      </w:r>
    </w:p>
    <w:p>
      <w:pPr>
        <w:pStyle w:val="ListBullet"/>
        <w:spacing w:after="60"/>
      </w:pPr>
      <w:r>
        <w:rPr>
          <w:sz w:val="21"/>
        </w:rPr>
        <w:t>How can we support one another when discipleship becomes costly?</w:t>
      </w:r>
    </w:p>
    <w:p>
      <w:pPr>
        <w:pStyle w:val="Heading2"/>
      </w:pPr>
      <w:r>
        <w:rPr>
          <w:rFonts w:ascii="Georgia" w:hAnsi="Georgia"/>
          <w:color w:val="802727"/>
        </w:rPr>
        <w:t>Practice This Week</w:t>
      </w:r>
    </w:p>
    <w:p>
      <w:pPr>
        <w:pStyle w:val="ListBullet"/>
        <w:spacing w:after="60"/>
      </w:pPr>
      <w:r>
        <w:rPr>
          <w:sz w:val="21"/>
        </w:rPr>
        <w:t>Pray through Mark 10:38-39 and ask Christ to purify your motives.</w:t>
      </w:r>
    </w:p>
    <w:p>
      <w:pPr>
        <w:pStyle w:val="ListBullet"/>
        <w:spacing w:after="60"/>
      </w:pPr>
      <w:r>
        <w:rPr>
          <w:sz w:val="21"/>
        </w:rPr>
        <w:t>Choose one act of quiet service that costs time, comfort, or pride.</w:t>
      </w:r>
    </w:p>
    <w:p>
      <w:pPr>
        <w:pStyle w:val="ListBullet"/>
        <w:spacing w:after="60"/>
      </w:pPr>
      <w:r>
        <w:rPr>
          <w:sz w:val="21"/>
        </w:rPr>
        <w:t>Encourage someone who is trying to remain faithful in a hard assignment.</w:t>
      </w:r>
    </w:p>
    <w:p>
      <w:pPr>
        <w:pStyle w:val="ListBullet"/>
        <w:spacing w:after="60"/>
      </w:pPr>
      <w:r>
        <w:rPr>
          <w:sz w:val="21"/>
        </w:rPr>
        <w:t>Before worship next Sunday, offer your schedule, body, work, and relationships to God as a living sacrifice.</w:t>
      </w:r>
    </w:p>
    <w:p>
      <w:pPr>
        <w:pStyle w:val="Heading2"/>
      </w:pPr>
      <w:r>
        <w:rPr>
          <w:rFonts w:ascii="Georgia" w:hAnsi="Georgia"/>
          <w:color w:val="802727"/>
        </w:rPr>
        <w:t>Optional Leader Notes</w:t>
      </w:r>
    </w:p>
    <w:p>
      <w:pPr>
        <w:spacing w:after="120" w:line="252" w:lineRule="auto"/>
      </w:pPr>
      <w:r>
        <w:rPr>
          <w:sz w:val="21"/>
        </w:rPr>
        <w:t>Keep the discussion grounded in grace. Some participants may hear the hymn as a demand to be strong. Help them see that Christian courage grows from Christ’s presence and mercy, not from personal toughness.</w:t>
      </w:r>
    </w:p>
    <w:p>
      <w:pPr>
        <w:pStyle w:val="Heading2"/>
      </w:pPr>
      <w:r>
        <w:rPr>
          <w:rFonts w:ascii="Georgia" w:hAnsi="Georgia"/>
          <w:color w:val="802727"/>
        </w:rPr>
        <w:t>Closing Prayer</w:t>
      </w:r>
    </w:p>
    <w:p>
      <w:pPr>
        <w:spacing w:after="120" w:line="252" w:lineRule="auto"/>
      </w:pPr>
      <w:r>
        <w:rPr>
          <w:sz w:val="21"/>
        </w:rPr>
        <w:t>Lord Jesus Christ, you call us to follow you with courage and humility. Guard us from shallow promises and fearful hesitation. Make us able by your grace to serve, suffer, love, and obey. Amen.</w:t>
      </w:r>
    </w:p>
    <w:p>
      <w:pPr>
        <w:spacing w:after="120" w:line="252" w:lineRule="auto"/>
      </w:pPr>
      <w:r>
        <w:rPr>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Ye Able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