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5B1D23"/>
          <w:sz w:val="40"/>
        </w:rPr>
        <w:t>Be Present at Our Table, Lord</w:t>
      </w:r>
    </w:p>
    <w:p>
      <w:pPr>
        <w:jc w:val="center"/>
      </w:pPr>
      <w:r>
        <w:rPr>
          <w:rFonts w:ascii="Aptos" w:hAnsi="Aptos"/>
          <w:i/>
          <w:color w:val="5B3925"/>
          <w:sz w:val="20"/>
        </w:rPr>
        <w:t>Sermon Outline</w:t>
      </w:r>
    </w:p>
    <w:p>
      <w:pPr>
        <w:pStyle w:val="Heading2"/>
        <w:spacing w:before="120" w:after="40"/>
      </w:pPr>
      <w:r>
        <w:t>Sermon Title</w:t>
      </w:r>
    </w:p>
    <w:p>
      <w:pPr>
        <w:spacing w:after="60" w:line="250" w:lineRule="auto"/>
      </w:pPr>
      <w:r>
        <w:rPr>
          <w:rFonts w:ascii="Aptos" w:hAnsi="Aptos"/>
          <w:color w:val="261D19"/>
          <w:sz w:val="20"/>
        </w:rPr>
        <w:t>Be Present at Our Table, Lord: Meeting Christ in Ordinary Grace</w:t>
      </w:r>
    </w:p>
    <w:p>
      <w:pPr>
        <w:pStyle w:val="Heading2"/>
        <w:spacing w:before="120" w:after="40"/>
      </w:pPr>
      <w:r>
        <w:t>Main Text and Supporting Scriptures</w:t>
      </w:r>
    </w:p>
    <w:p>
      <w:pPr>
        <w:spacing w:after="60" w:line="250" w:lineRule="auto"/>
      </w:pPr>
      <w:r>
        <w:rPr>
          <w:rFonts w:ascii="Aptos" w:hAnsi="Aptos"/>
          <w:color w:val="261D19"/>
          <w:sz w:val="19"/>
        </w:rPr>
        <w:t>Main text: Psalm 145:15-16. Supporting texts: Matthew 6:11; Luke 24:30-31; Acts 2:46-47; 1 Corinthians 10:16-17; Revelation 19:9.</w:t>
      </w:r>
    </w:p>
    <w:p>
      <w:pPr>
        <w:pStyle w:val="Heading2"/>
        <w:spacing w:before="120" w:after="40"/>
      </w:pPr>
      <w:r>
        <w:t>Big Idea</w:t>
      </w:r>
    </w:p>
    <w:p>
      <w:pPr>
        <w:spacing w:after="80" w:line="250" w:lineRule="auto"/>
      </w:pPr>
      <w:r>
        <w:rPr>
          <w:rFonts w:ascii="Aptos" w:hAnsi="Aptos"/>
          <w:color w:val="261D19"/>
          <w:sz w:val="20"/>
        </w:rPr>
        <w:t>Because God gives daily bread and Christ meets his people at the table, ordinary meals can become places of gratitude, fellowship, hospitality, and kingdom hope.</w:t>
      </w:r>
    </w:p>
    <w:p>
      <w:pPr>
        <w:pStyle w:val="Heading2"/>
        <w:spacing w:before="120" w:after="40"/>
      </w:pPr>
      <w:r>
        <w:t>Introduction</w:t>
      </w:r>
    </w:p>
    <w:p>
      <w:pPr>
        <w:spacing w:after="80" w:line="250" w:lineRule="auto"/>
      </w:pPr>
      <w:r>
        <w:rPr>
          <w:rFonts w:ascii="Aptos" w:hAnsi="Aptos"/>
          <w:color w:val="261D19"/>
          <w:sz w:val="19"/>
        </w:rPr>
        <w:t>Many Christians pray before meals, but often with little attention. A familiar grace can become a doorway back to wonder. This hymn teaches the church to pause before ordinary food and remember that the Giver is present, the table is sacred in its purpose, and every meal points beyond itself.</w:t>
      </w:r>
    </w:p>
    <w:p>
      <w:pPr>
        <w:pStyle w:val="Heading2"/>
        <w:spacing w:before="120" w:after="40"/>
      </w:pPr>
      <w:r>
        <w:t>1. Welcome Christ into ordinary life</w:t>
      </w:r>
    </w:p>
    <w:p>
      <w:pPr>
        <w:spacing w:after="40" w:line="250" w:lineRule="auto"/>
      </w:pPr>
      <w:r>
        <w:rPr>
          <w:rFonts w:ascii="Aptos" w:hAnsi="Aptos"/>
          <w:color w:val="261D19"/>
          <w:sz w:val="18"/>
        </w:rPr>
        <w:t>Explanation: Psalm 145 teaches that every creature waits upon the open hand of God. The hymn begins with the simple request that the Lord be present at the table. This is a confession that Christ belongs not only in public worship but also in the repeated rhythms of home, work, school, and fellowship.</w:t>
      </w:r>
    </w:p>
    <w:p>
      <w:pPr>
        <w:spacing w:after="40" w:line="250" w:lineRule="auto"/>
      </w:pPr>
      <w:r>
        <w:rPr>
          <w:rFonts w:ascii="Aptos" w:hAnsi="Aptos"/>
          <w:color w:val="261D19"/>
          <w:sz w:val="18"/>
        </w:rPr>
        <w:t>Biblical support: Luke 24:30-31 shows the risen Christ known in the breaking of bread.</w:t>
      </w:r>
    </w:p>
    <w:p>
      <w:pPr>
        <w:spacing w:after="40" w:line="250" w:lineRule="auto"/>
      </w:pPr>
      <w:r>
        <w:rPr>
          <w:rFonts w:ascii="Aptos" w:hAnsi="Aptos"/>
          <w:color w:val="261D19"/>
          <w:sz w:val="18"/>
        </w:rPr>
        <w:t>Illustration idea: A family table, a church potluck, a lunchroom, or a quiet meal alone can become a place where the believer turns toward Christ.</w:t>
      </w:r>
    </w:p>
    <w:p>
      <w:pPr>
        <w:spacing w:after="60" w:line="250" w:lineRule="auto"/>
      </w:pPr>
      <w:r>
        <w:rPr>
          <w:rFonts w:ascii="Aptos" w:hAnsi="Aptos"/>
          <w:color w:val="261D19"/>
          <w:sz w:val="18"/>
        </w:rPr>
        <w:t>Application: Before asking God to bless the food, ask whether your life has made room for the Lord at the table.</w:t>
      </w:r>
    </w:p>
    <w:p>
      <w:pPr>
        <w:pStyle w:val="Heading2"/>
        <w:spacing w:before="120" w:after="40"/>
      </w:pPr>
      <w:r>
        <w:t>2. Receive daily bread as mercy</w:t>
      </w:r>
    </w:p>
    <w:p>
      <w:pPr>
        <w:spacing w:after="40" w:line="250" w:lineRule="auto"/>
      </w:pPr>
      <w:r>
        <w:rPr>
          <w:rFonts w:ascii="Aptos" w:hAnsi="Aptos"/>
          <w:color w:val="261D19"/>
          <w:sz w:val="18"/>
        </w:rPr>
        <w:t>Explanation: The prayer for blessing recognizes dependence. We eat because God gives. Food may come through work, planning, wages, fields, stores, and hands, but behind all provision is the mercy of God.</w:t>
      </w:r>
    </w:p>
    <w:p>
      <w:pPr>
        <w:spacing w:after="40" w:line="250" w:lineRule="auto"/>
      </w:pPr>
      <w:r>
        <w:rPr>
          <w:rFonts w:ascii="Aptos" w:hAnsi="Aptos"/>
          <w:color w:val="261D19"/>
          <w:sz w:val="18"/>
        </w:rPr>
        <w:t>Biblical support: Matthew 6:11 teaches believers to ask the Father for today’s bread.</w:t>
      </w:r>
    </w:p>
    <w:p>
      <w:pPr>
        <w:spacing w:after="40" w:line="250" w:lineRule="auto"/>
      </w:pPr>
      <w:r>
        <w:rPr>
          <w:rFonts w:ascii="Aptos" w:hAnsi="Aptos"/>
          <w:color w:val="261D19"/>
          <w:sz w:val="18"/>
        </w:rPr>
        <w:t>Illustration idea: A full pantry can make people forget dependence; an empty table can deepen the prayer for trust. Both need the Father’s care.</w:t>
      </w:r>
    </w:p>
    <w:p>
      <w:pPr>
        <w:spacing w:after="60" w:line="250" w:lineRule="auto"/>
      </w:pPr>
      <w:r>
        <w:rPr>
          <w:rFonts w:ascii="Aptos" w:hAnsi="Aptos"/>
          <w:color w:val="261D19"/>
          <w:sz w:val="18"/>
        </w:rPr>
        <w:t>Application: Let gratitude become specific: name the food, the labor behind it, and the God who gives it.</w:t>
      </w:r>
    </w:p>
    <w:p>
      <w:pPr>
        <w:pStyle w:val="Heading2"/>
        <w:spacing w:before="120" w:after="40"/>
      </w:pPr>
      <w:r>
        <w:t>3. Let shared meals become fellowship</w:t>
      </w:r>
    </w:p>
    <w:p>
      <w:pPr>
        <w:spacing w:after="40" w:line="250" w:lineRule="auto"/>
      </w:pPr>
      <w:r>
        <w:rPr>
          <w:rFonts w:ascii="Aptos" w:hAnsi="Aptos"/>
          <w:color w:val="261D19"/>
          <w:sz w:val="18"/>
        </w:rPr>
        <w:t>Explanation: In Acts, believers broke bread with gladness and praised God. Meals were not distractions from spiritual life; they were one of the places where fellowship became visible.</w:t>
      </w:r>
    </w:p>
    <w:p>
      <w:pPr>
        <w:spacing w:after="40" w:line="250" w:lineRule="auto"/>
      </w:pPr>
      <w:r>
        <w:rPr>
          <w:rFonts w:ascii="Aptos" w:hAnsi="Aptos"/>
          <w:color w:val="261D19"/>
          <w:sz w:val="18"/>
        </w:rPr>
        <w:t>Biblical support: Acts 2:46-47 and 1 Corinthians 10:16-17 connect eating, unity, praise, and the life of the church.</w:t>
      </w:r>
    </w:p>
    <w:p>
      <w:pPr>
        <w:spacing w:after="40" w:line="250" w:lineRule="auto"/>
      </w:pPr>
      <w:r>
        <w:rPr>
          <w:rFonts w:ascii="Aptos" w:hAnsi="Aptos"/>
          <w:color w:val="261D19"/>
          <w:sz w:val="18"/>
        </w:rPr>
        <w:t>Illustration idea: A table can reveal both welcome and exclusion. It can heal loneliness or expose selfishness.</w:t>
      </w:r>
    </w:p>
    <w:p>
      <w:pPr>
        <w:spacing w:after="60" w:line="250" w:lineRule="auto"/>
      </w:pPr>
      <w:r>
        <w:rPr>
          <w:rFonts w:ascii="Aptos" w:hAnsi="Aptos"/>
          <w:color w:val="261D19"/>
          <w:sz w:val="18"/>
        </w:rPr>
        <w:t>Application: Use meals as ministry. Invite, listen, reconcile, and make space for those who are often left out.</w:t>
      </w:r>
    </w:p>
    <w:p>
      <w:pPr>
        <w:pStyle w:val="Heading2"/>
        <w:spacing w:before="120" w:after="40"/>
      </w:pPr>
      <w:r>
        <w:t>4. Look from today’s table to the coming feast</w:t>
      </w:r>
    </w:p>
    <w:p>
      <w:pPr>
        <w:spacing w:after="40" w:line="250" w:lineRule="auto"/>
      </w:pPr>
      <w:r>
        <w:rPr>
          <w:rFonts w:ascii="Aptos" w:hAnsi="Aptos"/>
          <w:color w:val="261D19"/>
          <w:sz w:val="18"/>
        </w:rPr>
        <w:t>Explanation: The hymn’s hope reaches beyond the meal in front of us. The Christian table is not the end of the story; it is a signpost toward the feast of God’s kingdom.</w:t>
      </w:r>
    </w:p>
    <w:p>
      <w:pPr>
        <w:spacing w:after="40" w:line="250" w:lineRule="auto"/>
      </w:pPr>
      <w:r>
        <w:rPr>
          <w:rFonts w:ascii="Aptos" w:hAnsi="Aptos"/>
          <w:color w:val="261D19"/>
          <w:sz w:val="18"/>
        </w:rPr>
        <w:t>Biblical support: Revelation 19:9 announces the blessedness of those invited to the marriage supper of the Lamb.</w:t>
      </w:r>
    </w:p>
    <w:p>
      <w:pPr>
        <w:spacing w:after="40" w:line="250" w:lineRule="auto"/>
      </w:pPr>
      <w:r>
        <w:rPr>
          <w:rFonts w:ascii="Aptos" w:hAnsi="Aptos"/>
          <w:color w:val="261D19"/>
          <w:sz w:val="18"/>
        </w:rPr>
        <w:t>Illustration idea: A simple supper in a grieving home can still be held under the promise of future joy.</w:t>
      </w:r>
    </w:p>
    <w:p>
      <w:pPr>
        <w:spacing w:after="60" w:line="250" w:lineRule="auto"/>
      </w:pPr>
      <w:r>
        <w:rPr>
          <w:rFonts w:ascii="Aptos" w:hAnsi="Aptos"/>
          <w:color w:val="261D19"/>
          <w:sz w:val="18"/>
        </w:rPr>
        <w:t>Application: Eat with hope. Practice hospitality as people who believe the Lord is preparing a greater table.</w:t>
      </w:r>
    </w:p>
    <w:p>
      <w:pPr>
        <w:pStyle w:val="Heading2"/>
        <w:spacing w:before="120" w:after="40"/>
      </w:pPr>
      <w:r>
        <w:t>Christ-Centered Connection</w:t>
      </w:r>
    </w:p>
    <w:p>
      <w:pPr>
        <w:spacing w:after="60" w:line="250" w:lineRule="auto"/>
      </w:pPr>
      <w:r>
        <w:rPr>
          <w:rFonts w:ascii="Aptos" w:hAnsi="Aptos"/>
          <w:color w:val="261D19"/>
          <w:sz w:val="19"/>
        </w:rPr>
        <w:t>The God who provides daily bread has given more than bread. In Christ, God gives himself. The risen Lord who was known at Emmaus in the breaking of bread is the same Lord who gathers his people, nourishes faith, and prepares the final feast. Christian gratitude is therefore not generic optimism; it is thanksgiving to the Father through the Son in the fellowship of the Spirit.</w:t>
      </w:r>
    </w:p>
    <w:p>
      <w:pPr>
        <w:pStyle w:val="Heading2"/>
        <w:spacing w:before="120" w:after="40"/>
      </w:pPr>
      <w:r>
        <w:t>Pastoral Applications</w:t>
      </w:r>
    </w:p>
    <w:p>
      <w:pPr>
        <w:pStyle w:val="ListBullet"/>
        <w:spacing w:after="20"/>
      </w:pPr>
      <w:r>
        <w:rPr>
          <w:rFonts w:ascii="Aptos" w:hAnsi="Aptos"/>
          <w:color w:val="261D19"/>
          <w:sz w:val="18"/>
        </w:rPr>
        <w:t>For the anxious: ask for today’s bread without trying to carry tomorrow’s burdens.</w:t>
      </w:r>
    </w:p>
    <w:p>
      <w:pPr>
        <w:pStyle w:val="ListBullet"/>
        <w:spacing w:after="20"/>
      </w:pPr>
      <w:r>
        <w:rPr>
          <w:rFonts w:ascii="Aptos" w:hAnsi="Aptos"/>
          <w:color w:val="261D19"/>
          <w:sz w:val="18"/>
        </w:rPr>
        <w:t>For the lonely: the church’s tables should become places of welcome, not closed circles.</w:t>
      </w:r>
    </w:p>
    <w:p>
      <w:pPr>
        <w:pStyle w:val="ListBullet"/>
        <w:spacing w:after="20"/>
      </w:pPr>
      <w:r>
        <w:rPr>
          <w:rFonts w:ascii="Aptos" w:hAnsi="Aptos"/>
          <w:color w:val="261D19"/>
          <w:sz w:val="18"/>
        </w:rPr>
        <w:t>For the weary: ordinary meals can become small sabbaths of gratitude.</w:t>
      </w:r>
    </w:p>
    <w:p>
      <w:pPr>
        <w:pStyle w:val="ListBullet"/>
        <w:spacing w:after="20"/>
      </w:pPr>
      <w:r>
        <w:rPr>
          <w:rFonts w:ascii="Aptos" w:hAnsi="Aptos"/>
          <w:color w:val="261D19"/>
          <w:sz w:val="18"/>
        </w:rPr>
        <w:t>For the joyful: let abundance turn into generosity rather than pride.</w:t>
      </w:r>
    </w:p>
    <w:p>
      <w:pPr>
        <w:pStyle w:val="ListBullet"/>
        <w:spacing w:after="20"/>
      </w:pPr>
      <w:r>
        <w:rPr>
          <w:rFonts w:ascii="Aptos" w:hAnsi="Aptos"/>
          <w:color w:val="261D19"/>
          <w:sz w:val="18"/>
        </w:rPr>
        <w:t>For the repentant: confess entitlement and recover the humility of receiving.</w:t>
      </w:r>
    </w:p>
    <w:p>
      <w:pPr>
        <w:pStyle w:val="ListBullet"/>
        <w:spacing w:after="20"/>
      </w:pPr>
      <w:r>
        <w:rPr>
          <w:rFonts w:ascii="Aptos" w:hAnsi="Aptos"/>
          <w:color w:val="261D19"/>
          <w:sz w:val="18"/>
        </w:rPr>
        <w:t>For the hopeful: let every faithful table point to the marriage supper of the Lamb.</w:t>
      </w:r>
    </w:p>
    <w:p>
      <w:pPr>
        <w:pStyle w:val="Heading2"/>
        <w:spacing w:before="120" w:after="40"/>
      </w:pPr>
      <w:r>
        <w:t>Conclusion and Call to Response</w:t>
      </w:r>
    </w:p>
    <w:p>
      <w:pPr>
        <w:spacing w:after="60" w:line="250" w:lineRule="auto"/>
      </w:pPr>
      <w:r>
        <w:rPr>
          <w:rFonts w:ascii="Aptos" w:hAnsi="Aptos"/>
          <w:color w:val="261D19"/>
          <w:sz w:val="19"/>
        </w:rPr>
        <w:t>Do not let the next meal pass unnoticed. Receive it as a gift. Welcome Christ there. Share what you can. Give thanks with your mouth and your life. The table before us is ordinary, but the Lord who meets us there is not ordinary, and the hope before us is everlasting.</w:t>
      </w:r>
    </w:p>
    <w:p>
      <w:pPr>
        <w:pStyle w:val="Heading2"/>
        <w:spacing w:before="120" w:after="40"/>
      </w:pPr>
      <w:r>
        <w:t>Suggested Closing Prayer</w:t>
      </w:r>
    </w:p>
    <w:p>
      <w:pPr>
        <w:spacing w:after="60" w:line="250" w:lineRule="auto"/>
      </w:pPr>
      <w:r>
        <w:rPr>
          <w:rFonts w:ascii="Aptos" w:hAnsi="Aptos"/>
          <w:color w:val="261D19"/>
          <w:sz w:val="19"/>
        </w:rPr>
        <w:t>Lord of the table and Giver of daily bread, be present with us. Open our eyes to your mercy, our hearts to our neighbors, and our homes to hospitality. Teach us to give thanks today and to live in hope until we feast with you in your kingdom. Amen.</w:t>
      </w:r>
    </w:p>
    <w:p>
      <w:pPr>
        <w:spacing w:before="80"/>
        <w:jc w:val="center"/>
      </w:pPr>
      <w:r>
        <w:rPr>
          <w:rFonts w:ascii="Aptos" w:hAnsi="Aptos"/>
          <w:color w:val="5B3925"/>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F4B3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5B1D23"/>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5B1D2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5B1D2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Present at Our Table, Lord</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