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5B1D23"/>
          <w:sz w:val="40"/>
        </w:rPr>
        <w:t>Be Present at Our Table, Lord</w:t>
      </w:r>
    </w:p>
    <w:p>
      <w:pPr>
        <w:jc w:val="center"/>
      </w:pPr>
      <w:r>
        <w:rPr>
          <w:rFonts w:ascii="Aptos" w:hAnsi="Aptos"/>
          <w:i/>
          <w:color w:val="5B3925"/>
          <w:sz w:val="20"/>
        </w:rPr>
        <w:t>Small Group Handout</w:t>
      </w:r>
    </w:p>
    <w:p>
      <w:pPr>
        <w:spacing w:after="100" w:line="250" w:lineRule="auto"/>
      </w:pPr>
      <w:r>
        <w:rPr>
          <w:rFonts w:ascii="Aptos" w:hAnsi="Aptos"/>
          <w:color w:val="261D19"/>
          <w:sz w:val="20"/>
        </w:rPr>
        <w:t>Purpose: to help a group receive this brief table grace as a Christian practice of gratitude, hospitality, fellowship, and hope.</w:t>
      </w:r>
    </w:p>
    <w:p>
      <w:pPr>
        <w:pStyle w:val="Heading2"/>
        <w:spacing w:before="120" w:after="40"/>
      </w:pPr>
      <w:r>
        <w:t>Opening Reflection</w:t>
      </w:r>
    </w:p>
    <w:p>
      <w:pPr>
        <w:pStyle w:val="ListBullet"/>
        <w:spacing w:after="20"/>
      </w:pPr>
      <w:r>
        <w:rPr>
          <w:rFonts w:ascii="Aptos" w:hAnsi="Aptos"/>
          <w:color w:val="261D19"/>
          <w:sz w:val="19"/>
        </w:rPr>
        <w:t>What meal from your past do you remember because of the people, prayer, or welcome around the table?</w:t>
      </w:r>
    </w:p>
    <w:p>
      <w:pPr>
        <w:pStyle w:val="ListBullet"/>
        <w:spacing w:after="20"/>
      </w:pPr>
      <w:r>
        <w:rPr>
          <w:rFonts w:ascii="Aptos" w:hAnsi="Aptos"/>
          <w:color w:val="261D19"/>
          <w:sz w:val="19"/>
        </w:rPr>
        <w:t>When do you find it easiest or hardest to give thanks for ordinary provision?</w:t>
      </w:r>
    </w:p>
    <w:p>
      <w:pPr>
        <w:pStyle w:val="ListBullet"/>
        <w:spacing w:after="20"/>
      </w:pPr>
      <w:r>
        <w:rPr>
          <w:rFonts w:ascii="Aptos" w:hAnsi="Aptos"/>
          <w:color w:val="261D19"/>
          <w:sz w:val="19"/>
        </w:rPr>
        <w:t>How might a sung grace change the atmosphere of a household meal or church fellowship dinner?</w:t>
      </w:r>
    </w:p>
    <w:p>
      <w:pPr>
        <w:pStyle w:val="Heading2"/>
        <w:spacing w:before="120" w:after="40"/>
      </w:pPr>
      <w:r>
        <w:t>Brief Hymn Background</w:t>
      </w:r>
    </w:p>
    <w:p>
      <w:pPr>
        <w:spacing w:after="60" w:line="250" w:lineRule="auto"/>
      </w:pPr>
      <w:r>
        <w:rPr>
          <w:rFonts w:ascii="Aptos" w:hAnsi="Aptos"/>
          <w:color w:val="261D19"/>
          <w:sz w:val="19"/>
        </w:rPr>
        <w:t>John Cennick (1718-1755) wrote this table grace in 1741. He was an English preacher, teacher, and hymn writer connected with the evangelical revival and later with the Moravian Church. The text has been used widely in homes, schools, camps, church meals, and congregational settings because it is short, memorable, and easy to sing.</w:t>
      </w:r>
    </w:p>
    <w:p>
      <w:pPr>
        <w:spacing w:after="60" w:line="250" w:lineRule="auto"/>
      </w:pPr>
      <w:r>
        <w:rPr>
          <w:rFonts w:ascii="Aptos" w:hAnsi="Aptos"/>
          <w:color w:val="261D19"/>
          <w:sz w:val="19"/>
        </w:rPr>
        <w:t>The hymn is commonly sung to OLD HUNDREDTH, a Long Meter tune associated with the Genevan Psalter and commonly attributed to Louis Bourgeois. Because many Christians know the tune from the doxology, this grace can often be sung without rehearsal.</w:t>
      </w:r>
    </w:p>
    <w:p>
      <w:pPr>
        <w:pStyle w:val="Heading2"/>
        <w:spacing w:before="120" w:after="40"/>
      </w:pPr>
      <w:r>
        <w:t>Scripture for Study</w:t>
      </w:r>
    </w:p>
    <w:p>
      <w:pPr>
        <w:spacing w:after="60" w:line="250" w:lineRule="auto"/>
      </w:pPr>
      <w:r>
        <w:rPr>
          <w:rFonts w:ascii="Aptos" w:hAnsi="Aptos"/>
          <w:color w:val="261D19"/>
          <w:sz w:val="19"/>
        </w:rPr>
        <w:t>Primary passage: Psalm 145:15-16 - God opens his hand and satisfies the living. Supporting passages: Matthew 6:11; Luke 24:30-31; Acts 2:46-47; 1 Corinthians 10:16-17; Revelation 19:9.</w:t>
      </w:r>
    </w:p>
    <w:p>
      <w:pPr>
        <w:pStyle w:val="Heading2"/>
        <w:spacing w:before="120" w:after="40"/>
      </w:pPr>
      <w:r>
        <w:t>Stanza Study</w:t>
      </w:r>
    </w:p>
    <w:p>
      <w:pPr>
        <w:pStyle w:val="Heading3"/>
        <w:spacing w:before="120" w:after="40"/>
      </w:pPr>
      <w:r>
        <w:t>Christ welcomed at the table</w:t>
      </w:r>
    </w:p>
    <w:p>
      <w:pPr>
        <w:spacing w:after="40" w:line="250" w:lineRule="auto"/>
      </w:pPr>
      <w:r>
        <w:rPr>
          <w:rFonts w:ascii="Aptos" w:hAnsi="Aptos"/>
          <w:color w:val="261D19"/>
          <w:sz w:val="19"/>
        </w:rPr>
        <w:t>The prayer begins by asking the Lord to be present. It teaches that the shared table can become a place of reverence, not merely routine. Luke 24 shows the risen Christ recognized in the breaking of bread.</w:t>
      </w:r>
    </w:p>
    <w:p>
      <w:pPr>
        <w:pStyle w:val="Heading3"/>
        <w:spacing w:before="120" w:after="40"/>
      </w:pPr>
      <w:r>
        <w:t>Food received as mercy</w:t>
      </w:r>
    </w:p>
    <w:p>
      <w:pPr>
        <w:spacing w:after="40" w:line="250" w:lineRule="auto"/>
      </w:pPr>
      <w:r>
        <w:rPr>
          <w:rFonts w:ascii="Aptos" w:hAnsi="Aptos"/>
          <w:color w:val="261D19"/>
          <w:sz w:val="19"/>
        </w:rPr>
        <w:t>The petition for blessing trains the heart to receive daily bread as a gift. Matthew 6:11 and Psalm 145 place ordinary provision under the Father’s generous care.</w:t>
      </w:r>
    </w:p>
    <w:p>
      <w:pPr>
        <w:pStyle w:val="Heading3"/>
        <w:spacing w:before="120" w:after="40"/>
      </w:pPr>
      <w:r>
        <w:t>Local prayer joined to wider worship</w:t>
      </w:r>
    </w:p>
    <w:p>
      <w:pPr>
        <w:spacing w:after="40" w:line="250" w:lineRule="auto"/>
      </w:pPr>
      <w:r>
        <w:rPr>
          <w:rFonts w:ascii="Aptos" w:hAnsi="Aptos"/>
          <w:color w:val="261D19"/>
          <w:sz w:val="19"/>
        </w:rPr>
        <w:t>The hymn widens from one table to praise in every place. Acts 2 links shared meals, gladness, praise, and the life of the gathered church.</w:t>
      </w:r>
    </w:p>
    <w:p>
      <w:pPr>
        <w:pStyle w:val="Heading3"/>
        <w:spacing w:before="120" w:after="40"/>
      </w:pPr>
      <w:r>
        <w:t>Earthly meals pointing to the kingdom</w:t>
      </w:r>
    </w:p>
    <w:p>
      <w:pPr>
        <w:spacing w:after="40" w:line="250" w:lineRule="auto"/>
      </w:pPr>
      <w:r>
        <w:rPr>
          <w:rFonts w:ascii="Aptos" w:hAnsi="Aptos"/>
          <w:color w:val="261D19"/>
          <w:sz w:val="19"/>
        </w:rPr>
        <w:t>The closing hope looks beyond today’s food to the promised feast with Christ. Revelation 19:9 gives Christian hospitality a future horizon.</w:t>
      </w:r>
    </w:p>
    <w:p>
      <w:r>
        <w:br w:type="page"/>
      </w:r>
    </w:p>
    <w:p>
      <w:pPr>
        <w:pStyle w:val="Heading2"/>
        <w:spacing w:before="120" w:after="40"/>
      </w:pPr>
      <w:r>
        <w:t>Study Table</w:t>
      </w:r>
    </w:p>
    <w:tbl>
      <w:tblPr>
        <w:tblStyle w:val="TableGrid"/>
        <w:tblW w:type="auto" w:w="0"/>
        <w:jc w:val="center"/>
        <w:tblLook w:firstColumn="1" w:firstRow="1" w:lastColumn="0" w:lastRow="0" w:noHBand="0" w:noVBand="1" w:val="04A0"/>
      </w:tblPr>
      <w:tblGrid>
        <w:gridCol w:w="3456"/>
        <w:gridCol w:w="3456"/>
        <w:gridCol w:w="3456"/>
      </w:tblGrid>
      <w:tr>
        <w:tc>
          <w:tcPr>
            <w:tcW w:type="dxa" w:w="3024"/>
            <w:shd w:fill="702520"/>
            <w:vAlign w:val="top"/>
          </w:tcPr>
          <w:p>
            <w:r/>
            <w:r>
              <w:rPr>
                <w:rFonts w:ascii="Aptos" w:hAnsi="Aptos"/>
                <w:b/>
                <w:color w:val="FFFFFF"/>
                <w:sz w:val="18"/>
              </w:rPr>
              <w:t>Hymn Theme</w:t>
            </w:r>
          </w:p>
        </w:tc>
        <w:tc>
          <w:tcPr>
            <w:tcW w:type="dxa" w:w="3024"/>
            <w:shd w:fill="702520"/>
            <w:vAlign w:val="top"/>
          </w:tcPr>
          <w:p>
            <w:r/>
            <w:r>
              <w:rPr>
                <w:rFonts w:ascii="Aptos" w:hAnsi="Aptos"/>
                <w:b/>
                <w:color w:val="FFFFFF"/>
                <w:sz w:val="18"/>
              </w:rPr>
              <w:t>Scripture Connection</w:t>
            </w:r>
          </w:p>
        </w:tc>
        <w:tc>
          <w:tcPr>
            <w:tcW w:type="dxa" w:w="3024"/>
            <w:shd w:fill="702520"/>
            <w:vAlign w:val="top"/>
          </w:tcPr>
          <w:p>
            <w:r/>
            <w:r>
              <w:rPr>
                <w:rFonts w:ascii="Aptos" w:hAnsi="Aptos"/>
                <w:b/>
                <w:color w:val="FFFFFF"/>
                <w:sz w:val="18"/>
              </w:rPr>
              <w:t>Discussion Prompt</w:t>
            </w:r>
          </w:p>
        </w:tc>
      </w:tr>
      <w:tr>
        <w:tc>
          <w:tcPr>
            <w:tcW w:type="dxa" w:w="3024"/>
            <w:vAlign w:val="top"/>
            <w:shd w:fill="F3E6C8"/>
          </w:tcPr>
          <w:p>
            <w:r/>
            <w:r>
              <w:rPr>
                <w:rFonts w:ascii="Aptos" w:hAnsi="Aptos"/>
                <w:b w:val="0"/>
                <w:color w:val="2B211E"/>
                <w:sz w:val="17"/>
              </w:rPr>
              <w:t>Christ’s presence</w:t>
            </w:r>
          </w:p>
        </w:tc>
        <w:tc>
          <w:tcPr>
            <w:tcW w:type="dxa" w:w="3024"/>
            <w:vAlign w:val="top"/>
          </w:tcPr>
          <w:p>
            <w:r/>
            <w:r>
              <w:rPr>
                <w:rFonts w:ascii="Aptos" w:hAnsi="Aptos"/>
                <w:b w:val="0"/>
                <w:color w:val="2B211E"/>
                <w:sz w:val="17"/>
              </w:rPr>
              <w:t>Luke 24:30-31</w:t>
            </w:r>
          </w:p>
        </w:tc>
        <w:tc>
          <w:tcPr>
            <w:tcW w:type="dxa" w:w="3024"/>
            <w:vAlign w:val="top"/>
          </w:tcPr>
          <w:p>
            <w:r/>
            <w:r>
              <w:rPr>
                <w:rFonts w:ascii="Aptos" w:hAnsi="Aptos"/>
                <w:b w:val="0"/>
                <w:color w:val="2B211E"/>
                <w:sz w:val="17"/>
              </w:rPr>
              <w:t>Where do we need to become more aware of Christ in ordinary life?</w:t>
            </w:r>
          </w:p>
        </w:tc>
      </w:tr>
      <w:tr>
        <w:tc>
          <w:tcPr>
            <w:tcW w:type="dxa" w:w="3024"/>
            <w:vAlign w:val="top"/>
            <w:shd w:fill="F3E6C8"/>
          </w:tcPr>
          <w:p>
            <w:r/>
            <w:r>
              <w:rPr>
                <w:rFonts w:ascii="Aptos" w:hAnsi="Aptos"/>
                <w:b w:val="0"/>
                <w:color w:val="2B211E"/>
                <w:sz w:val="17"/>
              </w:rPr>
              <w:t>Daily bread</w:t>
            </w:r>
          </w:p>
        </w:tc>
        <w:tc>
          <w:tcPr>
            <w:tcW w:type="dxa" w:w="3024"/>
            <w:vAlign w:val="top"/>
          </w:tcPr>
          <w:p>
            <w:r/>
            <w:r>
              <w:rPr>
                <w:rFonts w:ascii="Aptos" w:hAnsi="Aptos"/>
                <w:b w:val="0"/>
                <w:color w:val="2B211E"/>
                <w:sz w:val="17"/>
              </w:rPr>
              <w:t>Psalm 145:15-16; Matthew 6:11</w:t>
            </w:r>
          </w:p>
        </w:tc>
        <w:tc>
          <w:tcPr>
            <w:tcW w:type="dxa" w:w="3024"/>
            <w:vAlign w:val="top"/>
          </w:tcPr>
          <w:p>
            <w:r/>
            <w:r>
              <w:rPr>
                <w:rFonts w:ascii="Aptos" w:hAnsi="Aptos"/>
                <w:b w:val="0"/>
                <w:color w:val="2B211E"/>
                <w:sz w:val="17"/>
              </w:rPr>
              <w:t>What habits help us receive food with gratitude?</w:t>
            </w:r>
          </w:p>
        </w:tc>
      </w:tr>
      <w:tr>
        <w:tc>
          <w:tcPr>
            <w:tcW w:type="dxa" w:w="3024"/>
            <w:vAlign w:val="top"/>
            <w:shd w:fill="F3E6C8"/>
          </w:tcPr>
          <w:p>
            <w:r/>
            <w:r>
              <w:rPr>
                <w:rFonts w:ascii="Aptos" w:hAnsi="Aptos"/>
                <w:b w:val="0"/>
                <w:color w:val="2B211E"/>
                <w:sz w:val="17"/>
              </w:rPr>
              <w:t>Shared fellowship</w:t>
            </w:r>
          </w:p>
        </w:tc>
        <w:tc>
          <w:tcPr>
            <w:tcW w:type="dxa" w:w="3024"/>
            <w:vAlign w:val="top"/>
          </w:tcPr>
          <w:p>
            <w:r/>
            <w:r>
              <w:rPr>
                <w:rFonts w:ascii="Aptos" w:hAnsi="Aptos"/>
                <w:b w:val="0"/>
                <w:color w:val="2B211E"/>
                <w:sz w:val="17"/>
              </w:rPr>
              <w:t>Acts 2:46-47</w:t>
            </w:r>
          </w:p>
        </w:tc>
        <w:tc>
          <w:tcPr>
            <w:tcW w:type="dxa" w:w="3024"/>
            <w:vAlign w:val="top"/>
          </w:tcPr>
          <w:p>
            <w:r/>
            <w:r>
              <w:rPr>
                <w:rFonts w:ascii="Aptos" w:hAnsi="Aptos"/>
                <w:b w:val="0"/>
                <w:color w:val="2B211E"/>
                <w:sz w:val="17"/>
              </w:rPr>
              <w:t>How can church meals become more spiritually intentional?</w:t>
            </w:r>
          </w:p>
        </w:tc>
      </w:tr>
      <w:tr>
        <w:tc>
          <w:tcPr>
            <w:tcW w:type="dxa" w:w="3024"/>
            <w:vAlign w:val="top"/>
            <w:shd w:fill="F3E6C8"/>
          </w:tcPr>
          <w:p>
            <w:r/>
            <w:r>
              <w:rPr>
                <w:rFonts w:ascii="Aptos" w:hAnsi="Aptos"/>
                <w:b w:val="0"/>
                <w:color w:val="2B211E"/>
                <w:sz w:val="17"/>
              </w:rPr>
              <w:t>One table, one people</w:t>
            </w:r>
          </w:p>
        </w:tc>
        <w:tc>
          <w:tcPr>
            <w:tcW w:type="dxa" w:w="3024"/>
            <w:vAlign w:val="top"/>
          </w:tcPr>
          <w:p>
            <w:r/>
            <w:r>
              <w:rPr>
                <w:rFonts w:ascii="Aptos" w:hAnsi="Aptos"/>
                <w:b w:val="0"/>
                <w:color w:val="2B211E"/>
                <w:sz w:val="17"/>
              </w:rPr>
              <w:t>1 Corinthians 10:16-17</w:t>
            </w:r>
          </w:p>
        </w:tc>
        <w:tc>
          <w:tcPr>
            <w:tcW w:type="dxa" w:w="3024"/>
            <w:vAlign w:val="top"/>
          </w:tcPr>
          <w:p>
            <w:r/>
            <w:r>
              <w:rPr>
                <w:rFonts w:ascii="Aptos" w:hAnsi="Aptos"/>
                <w:b w:val="0"/>
                <w:color w:val="2B211E"/>
                <w:sz w:val="17"/>
              </w:rPr>
              <w:t>How does shared food strengthen unity?</w:t>
            </w:r>
          </w:p>
        </w:tc>
      </w:tr>
      <w:tr>
        <w:tc>
          <w:tcPr>
            <w:tcW w:type="dxa" w:w="3024"/>
            <w:vAlign w:val="top"/>
            <w:shd w:fill="F3E6C8"/>
          </w:tcPr>
          <w:p>
            <w:r/>
            <w:r>
              <w:rPr>
                <w:rFonts w:ascii="Aptos" w:hAnsi="Aptos"/>
                <w:b w:val="0"/>
                <w:color w:val="2B211E"/>
                <w:sz w:val="17"/>
              </w:rPr>
              <w:t>Kingdom hope</w:t>
            </w:r>
          </w:p>
        </w:tc>
        <w:tc>
          <w:tcPr>
            <w:tcW w:type="dxa" w:w="3024"/>
            <w:vAlign w:val="top"/>
          </w:tcPr>
          <w:p>
            <w:r/>
            <w:r>
              <w:rPr>
                <w:rFonts w:ascii="Aptos" w:hAnsi="Aptos"/>
                <w:b w:val="0"/>
                <w:color w:val="2B211E"/>
                <w:sz w:val="17"/>
              </w:rPr>
              <w:t>Revelation 19:9</w:t>
            </w:r>
          </w:p>
        </w:tc>
        <w:tc>
          <w:tcPr>
            <w:tcW w:type="dxa" w:w="3024"/>
            <w:vAlign w:val="top"/>
          </w:tcPr>
          <w:p>
            <w:r/>
            <w:r>
              <w:rPr>
                <w:rFonts w:ascii="Aptos" w:hAnsi="Aptos"/>
                <w:b w:val="0"/>
                <w:color w:val="2B211E"/>
                <w:sz w:val="17"/>
              </w:rPr>
              <w:t>How does future hope shape present hospitality?</w:t>
            </w:r>
          </w:p>
        </w:tc>
      </w:tr>
    </w:tbl>
    <w:p>
      <w:pPr>
        <w:pStyle w:val="Heading2"/>
        <w:spacing w:before="120" w:after="40"/>
      </w:pPr>
      <w:r>
        <w:t>Discussion Questions</w:t>
      </w:r>
    </w:p>
    <w:p>
      <w:pPr>
        <w:pStyle w:val="ListBullet"/>
        <w:spacing w:after="20"/>
      </w:pPr>
      <w:r>
        <w:rPr>
          <w:rFonts w:ascii="Aptos" w:hAnsi="Aptos"/>
          <w:color w:val="261D19"/>
          <w:sz w:val="18"/>
        </w:rPr>
        <w:t>What does the hymn teach about Christ’s presence in ordinary daily life?</w:t>
      </w:r>
    </w:p>
    <w:p>
      <w:pPr>
        <w:pStyle w:val="ListBullet"/>
        <w:spacing w:after="20"/>
      </w:pPr>
      <w:r>
        <w:rPr>
          <w:rFonts w:ascii="Aptos" w:hAnsi="Aptos"/>
          <w:color w:val="261D19"/>
          <w:sz w:val="18"/>
        </w:rPr>
        <w:t>How do Psalm 145 and the Lord’s Prayer correct a careless attitude toward food?</w:t>
      </w:r>
    </w:p>
    <w:p>
      <w:pPr>
        <w:pStyle w:val="ListBullet"/>
        <w:spacing w:after="20"/>
      </w:pPr>
      <w:r>
        <w:rPr>
          <w:rFonts w:ascii="Aptos" w:hAnsi="Aptos"/>
          <w:color w:val="261D19"/>
          <w:sz w:val="18"/>
        </w:rPr>
        <w:t>Why do meals play such a meaningful role in the Gospels and the life of the early church?</w:t>
      </w:r>
    </w:p>
    <w:p>
      <w:pPr>
        <w:pStyle w:val="ListBullet"/>
        <w:spacing w:after="20"/>
      </w:pPr>
      <w:r>
        <w:rPr>
          <w:rFonts w:ascii="Aptos" w:hAnsi="Aptos"/>
          <w:color w:val="261D19"/>
          <w:sz w:val="18"/>
        </w:rPr>
        <w:t>What is the difference between a quick ritual and genuine thanksgiving?</w:t>
      </w:r>
    </w:p>
    <w:p>
      <w:pPr>
        <w:pStyle w:val="ListBullet"/>
        <w:spacing w:after="20"/>
      </w:pPr>
      <w:r>
        <w:rPr>
          <w:rFonts w:ascii="Aptos" w:hAnsi="Aptos"/>
          <w:color w:val="261D19"/>
          <w:sz w:val="18"/>
        </w:rPr>
        <w:t>Where could your group, family, or congregation practice more generous hospitality?</w:t>
      </w:r>
    </w:p>
    <w:p>
      <w:pPr>
        <w:pStyle w:val="ListBullet"/>
        <w:spacing w:after="20"/>
      </w:pPr>
      <w:r>
        <w:rPr>
          <w:rFonts w:ascii="Aptos" w:hAnsi="Aptos"/>
          <w:color w:val="261D19"/>
          <w:sz w:val="18"/>
        </w:rPr>
        <w:t>How does the promised feast with Christ give depth to today’s meals?</w:t>
      </w:r>
    </w:p>
    <w:p>
      <w:pPr>
        <w:pStyle w:val="ListBullet"/>
        <w:spacing w:after="20"/>
      </w:pPr>
      <w:r>
        <w:rPr>
          <w:rFonts w:ascii="Aptos" w:hAnsi="Aptos"/>
          <w:color w:val="261D19"/>
          <w:sz w:val="18"/>
        </w:rPr>
        <w:t>What table practice could you begin this week as an act of discipleship?</w:t>
      </w:r>
    </w:p>
    <w:p>
      <w:pPr>
        <w:pStyle w:val="Heading2"/>
        <w:spacing w:before="120" w:after="40"/>
      </w:pPr>
      <w:r>
        <w:t>Practice This Week</w:t>
      </w:r>
    </w:p>
    <w:p>
      <w:pPr>
        <w:pStyle w:val="ListBullet"/>
        <w:spacing w:after="20"/>
      </w:pPr>
      <w:r>
        <w:rPr>
          <w:rFonts w:ascii="Aptos" w:hAnsi="Aptos"/>
          <w:color w:val="261D19"/>
          <w:sz w:val="18"/>
        </w:rPr>
        <w:t>Pray slowly before at least one meal each day, naming a specific mercy from God.</w:t>
      </w:r>
    </w:p>
    <w:p>
      <w:pPr>
        <w:pStyle w:val="ListBullet"/>
        <w:spacing w:after="20"/>
      </w:pPr>
      <w:r>
        <w:rPr>
          <w:rFonts w:ascii="Aptos" w:hAnsi="Aptos"/>
          <w:color w:val="261D19"/>
          <w:sz w:val="18"/>
        </w:rPr>
        <w:t>Read Psalm 145:15-16 before a family meal or small-group gathering.</w:t>
      </w:r>
    </w:p>
    <w:p>
      <w:pPr>
        <w:pStyle w:val="ListBullet"/>
        <w:spacing w:after="20"/>
      </w:pPr>
      <w:r>
        <w:rPr>
          <w:rFonts w:ascii="Aptos" w:hAnsi="Aptos"/>
          <w:color w:val="261D19"/>
          <w:sz w:val="18"/>
        </w:rPr>
        <w:t>Invite someone to share a simple meal, especially someone who may need welcome or encouragement.</w:t>
      </w:r>
    </w:p>
    <w:p>
      <w:pPr>
        <w:pStyle w:val="ListBullet"/>
        <w:spacing w:after="20"/>
      </w:pPr>
      <w:r>
        <w:rPr>
          <w:rFonts w:ascii="Aptos" w:hAnsi="Aptos"/>
          <w:color w:val="261D19"/>
          <w:sz w:val="18"/>
        </w:rPr>
        <w:t>After Communion or a church meal, thank God for both the food and the people gathered.</w:t>
      </w:r>
    </w:p>
    <w:p>
      <w:pPr>
        <w:pStyle w:val="Heading2"/>
        <w:spacing w:before="120" w:after="40"/>
      </w:pPr>
      <w:r>
        <w:t>Optional Leader Notes</w:t>
      </w:r>
    </w:p>
    <w:p>
      <w:pPr>
        <w:spacing w:after="40" w:line="250" w:lineRule="auto"/>
      </w:pPr>
      <w:r>
        <w:rPr>
          <w:rFonts w:ascii="Aptos" w:hAnsi="Aptos"/>
          <w:color w:val="261D19"/>
          <w:sz w:val="18"/>
        </w:rPr>
        <w:t>Keep the discussion concrete. Ask participants to name actual tables, meals, habits, and people. The goal is not a lecture on food customs but a recovery of grateful Christian practice.</w:t>
      </w:r>
    </w:p>
    <w:p>
      <w:pPr>
        <w:pStyle w:val="Heading2"/>
        <w:spacing w:before="120" w:after="40"/>
      </w:pPr>
      <w:r>
        <w:t>Closing Prayer</w:t>
      </w:r>
    </w:p>
    <w:p>
      <w:pPr>
        <w:spacing w:after="60" w:line="250" w:lineRule="auto"/>
      </w:pPr>
      <w:r>
        <w:rPr>
          <w:rFonts w:ascii="Aptos" w:hAnsi="Aptos"/>
          <w:color w:val="261D19"/>
          <w:sz w:val="19"/>
        </w:rPr>
        <w:t>Lord Jesus, be present with us at every table. Teach us to receive daily bread with thankful hearts, to welcome others with kindness, and to let our meals become signs of your grace. Amen.</w:t>
      </w:r>
    </w:p>
    <w:p>
      <w:pPr>
        <w:spacing w:before="80"/>
        <w:jc w:val="center"/>
      </w:pPr>
      <w:r>
        <w:rPr>
          <w:rFonts w:ascii="Aptos" w:hAnsi="Aptos"/>
          <w:color w:val="5B3925"/>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4B3A"/>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5B1D23"/>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Georgia"/>
      <w:b/>
      <w:bCs/>
      <w:color w:val="5B1D2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eastAsia="Georgia"/>
      <w:b/>
      <w:bCs/>
      <w:color w:val="5B1D2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 Present at Our Table, Lord</dc:title>
  <dc:subject>Hymn study resource</dc:subject>
  <dc:creator>HymnInfo.com</dc:creator>
  <cp:keywords>hymn study, Christian worship, church teaching, HymnInfo</cp:keywords>
  <dc:description/>
  <cp:lastModifiedBy>HymnInfo.com</cp:lastModifiedBy>
  <cp:revision>1</cp:revision>
  <dcterms:created xsi:type="dcterms:W3CDTF">2013-12-23T23:15:00Z</dcterms:created>
  <dcterms:modified xsi:type="dcterms:W3CDTF">2013-12-23T23:15:00Z</dcterms:modified>
  <cp:category>hymn study resource</cp:category>
</cp:coreProperties>
</file>