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1B2C3B"/>
          <w:sz w:val="40"/>
        </w:rPr>
        <w:t>Come Before His Presence</w:t>
      </w:r>
    </w:p>
    <w:p>
      <w:pPr>
        <w:jc w:val="center"/>
      </w:pPr>
      <w:r>
        <w:rPr>
          <w:rFonts w:ascii="Calibri" w:hAnsi="Calibri"/>
          <w:i/>
          <w:color w:val="5B6670"/>
          <w:sz w:val="21"/>
        </w:rPr>
        <w:t>A sermon outline from Canticle of Praise to God (Venite Exultemus)</w:t>
      </w:r>
    </w:p>
    <w:p>
      <w:pPr>
        <w:pStyle w:val="Heading2"/>
      </w:pPr>
      <w:r>
        <w:rPr>
          <w:rFonts w:ascii="Georgia" w:hAnsi="Georgia"/>
          <w:b/>
          <w:color w:val="7A5B2E"/>
        </w:rPr>
        <w:t>Main Text and Supporting Scriptures</w:t>
      </w:r>
    </w:p>
    <w:p>
      <w:pPr>
        <w:pStyle w:val="ListBullet"/>
        <w:spacing w:after="60" w:line="252" w:lineRule="auto"/>
      </w:pPr>
      <w:r>
        <w:rPr>
          <w:rFonts w:ascii="Calibri" w:hAnsi="Calibri"/>
          <w:sz w:val="21"/>
        </w:rPr>
        <w:t>Main text: Psalm 95:1-7</w:t>
      </w:r>
    </w:p>
    <w:p>
      <w:pPr>
        <w:pStyle w:val="ListBullet"/>
        <w:spacing w:after="60" w:line="252" w:lineRule="auto"/>
      </w:pPr>
      <w:r>
        <w:rPr>
          <w:rFonts w:ascii="Calibri" w:hAnsi="Calibri"/>
          <w:sz w:val="21"/>
        </w:rPr>
        <w:t>Supporting texts: Psalm 100:1-2; Hebrews 3:7-8; John 10:14-15; Revelation 4:11</w:t>
      </w:r>
    </w:p>
    <w:p>
      <w:pPr>
        <w:pStyle w:val="Heading2"/>
      </w:pPr>
      <w:r>
        <w:rPr>
          <w:rFonts w:ascii="Georgia" w:hAnsi="Georgia"/>
          <w:b/>
          <w:color w:val="7A5B2E"/>
        </w:rPr>
        <w:t>Big Idea</w:t>
      </w:r>
    </w:p>
    <w:p>
      <w:pPr>
        <w:spacing w:after="100" w:line="252" w:lineRule="auto"/>
      </w:pPr>
      <w:r>
        <w:rPr>
          <w:rFonts w:ascii="Calibri" w:hAnsi="Calibri"/>
          <w:b/>
          <w:i w:val="0"/>
          <w:color w:val="1B2C3B"/>
        </w:rPr>
        <w:t>God calls his people to joyful praise, reverent humility, and obedient listening because he is our Creator, King, Maker, and Shepherd.</w:t>
      </w:r>
    </w:p>
    <w:p>
      <w:pPr>
        <w:pStyle w:val="Heading2"/>
      </w:pPr>
      <w:r>
        <w:rPr>
          <w:rFonts w:ascii="Georgia" w:hAnsi="Georgia"/>
          <w:b/>
          <w:color w:val="7A5B2E"/>
        </w:rPr>
        <w:t>Introduction</w:t>
      </w:r>
    </w:p>
    <w:p>
      <w:pPr>
        <w:spacing w:after="100" w:line="252" w:lineRule="auto"/>
      </w:pPr>
      <w:r>
        <w:rPr>
          <w:rFonts w:ascii="Calibri" w:hAnsi="Calibri"/>
          <w:b w:val="0"/>
          <w:i w:val="0"/>
        </w:rPr>
        <w:t>Many worship services begin with a call to worship, but Psalm 95 shows that this call is more than an opening sentence. It is God’s Word gathering scattered people into glad praise, holy reverence, and attentive obedience. The Venite gives the church Scripture’s own words for coming before the Lord.</w:t>
      </w:r>
    </w:p>
    <w:p>
      <w:pPr>
        <w:pStyle w:val="Heading2"/>
      </w:pPr>
      <w:r>
        <w:rPr>
          <w:rFonts w:ascii="Georgia" w:hAnsi="Georgia"/>
          <w:b/>
          <w:color w:val="7A5B2E"/>
        </w:rPr>
        <w:t>1. Come with joyful praise</w:t>
      </w:r>
    </w:p>
    <w:p>
      <w:pPr>
        <w:spacing w:after="40"/>
      </w:pPr>
      <w:r>
        <w:rPr>
          <w:rFonts w:ascii="Calibri" w:hAnsi="Calibri"/>
          <w:b/>
          <w:color w:val="7A5B2E"/>
          <w:sz w:val="20"/>
        </w:rPr>
        <w:t xml:space="preserve">Explanation: </w:t>
      </w:r>
      <w:r>
        <w:rPr>
          <w:rFonts w:ascii="Calibri" w:hAnsi="Calibri"/>
          <w:sz w:val="20"/>
        </w:rPr>
        <w:t>Psalm 95 opens with repeated invitations: come, sing, shout, come before his presence, extol him with songs. The people of God do not drift into worship accidentally; they are summoned.</w:t>
      </w:r>
    </w:p>
    <w:p>
      <w:pPr>
        <w:spacing w:after="40"/>
      </w:pPr>
      <w:r>
        <w:rPr>
          <w:rFonts w:ascii="Calibri" w:hAnsi="Calibri"/>
          <w:b/>
          <w:color w:val="7A5B2E"/>
          <w:sz w:val="20"/>
        </w:rPr>
        <w:t xml:space="preserve">Hymn connection: </w:t>
      </w:r>
      <w:r>
        <w:rPr>
          <w:rFonts w:ascii="Calibri" w:hAnsi="Calibri"/>
          <w:sz w:val="20"/>
        </w:rPr>
        <w:t>The canticle places the congregation in motion. Worship begins as the gathered people answer God’s call together.</w:t>
      </w:r>
    </w:p>
    <w:p>
      <w:pPr>
        <w:spacing w:after="40"/>
      </w:pPr>
      <w:r>
        <w:rPr>
          <w:rFonts w:ascii="Calibri" w:hAnsi="Calibri"/>
          <w:b/>
          <w:color w:val="7A5B2E"/>
          <w:sz w:val="20"/>
        </w:rPr>
        <w:t xml:space="preserve">Biblical support: </w:t>
      </w:r>
      <w:r>
        <w:rPr>
          <w:rFonts w:ascii="Calibri" w:hAnsi="Calibri"/>
          <w:sz w:val="20"/>
        </w:rPr>
        <w:t>Psalm 95:1-2; Psalm 100:1-2</w:t>
      </w:r>
    </w:p>
    <w:p>
      <w:pPr>
        <w:spacing w:after="40"/>
      </w:pPr>
      <w:r>
        <w:rPr>
          <w:rFonts w:ascii="Calibri" w:hAnsi="Calibri"/>
          <w:b/>
          <w:color w:val="7A5B2E"/>
          <w:sz w:val="20"/>
        </w:rPr>
        <w:t xml:space="preserve">Illustration idea: </w:t>
      </w:r>
      <w:r>
        <w:rPr>
          <w:rFonts w:ascii="Calibri" w:hAnsi="Calibri"/>
          <w:sz w:val="20"/>
        </w:rPr>
        <w:t>A family meal begins differently when everyone is called to the table by someone who loves them.</w:t>
      </w:r>
    </w:p>
    <w:p>
      <w:pPr>
        <w:spacing w:after="40"/>
      </w:pPr>
      <w:r>
        <w:rPr>
          <w:rFonts w:ascii="Calibri" w:hAnsi="Calibri"/>
          <w:b/>
          <w:color w:val="7A5B2E"/>
          <w:sz w:val="20"/>
        </w:rPr>
        <w:t xml:space="preserve">Application: </w:t>
      </w:r>
      <w:r>
        <w:rPr>
          <w:rFonts w:ascii="Calibri" w:hAnsi="Calibri"/>
          <w:sz w:val="20"/>
        </w:rPr>
        <w:t>Call the congregation to active praise, not passive attendance.</w:t>
      </w:r>
    </w:p>
    <w:p>
      <w:pPr>
        <w:pStyle w:val="Heading2"/>
      </w:pPr>
      <w:r>
        <w:rPr>
          <w:rFonts w:ascii="Georgia" w:hAnsi="Georgia"/>
          <w:b/>
          <w:color w:val="7A5B2E"/>
        </w:rPr>
        <w:t>2. Confess the Lord as Creator and King</w:t>
      </w:r>
    </w:p>
    <w:p>
      <w:pPr>
        <w:spacing w:after="40"/>
      </w:pPr>
      <w:r>
        <w:rPr>
          <w:rFonts w:ascii="Calibri" w:hAnsi="Calibri"/>
          <w:b/>
          <w:color w:val="7A5B2E"/>
          <w:sz w:val="20"/>
        </w:rPr>
        <w:t xml:space="preserve">Explanation: </w:t>
      </w:r>
      <w:r>
        <w:rPr>
          <w:rFonts w:ascii="Calibri" w:hAnsi="Calibri"/>
          <w:sz w:val="20"/>
        </w:rPr>
        <w:t>The psalm moves from worshipers to the world God made. The deep places, mountain heights, sea, and dry land are in his hands. Creation is not random territory; it is God’s possession.</w:t>
      </w:r>
    </w:p>
    <w:p>
      <w:pPr>
        <w:spacing w:after="40"/>
      </w:pPr>
      <w:r>
        <w:rPr>
          <w:rFonts w:ascii="Calibri" w:hAnsi="Calibri"/>
          <w:b/>
          <w:color w:val="7A5B2E"/>
          <w:sz w:val="20"/>
        </w:rPr>
        <w:t xml:space="preserve">Hymn connection: </w:t>
      </w:r>
      <w:r>
        <w:rPr>
          <w:rFonts w:ascii="Calibri" w:hAnsi="Calibri"/>
          <w:sz w:val="20"/>
        </w:rPr>
        <w:t>The Venite teaches praise to be theologically large. We sing to the God who reigns over every height and depth.</w:t>
      </w:r>
    </w:p>
    <w:p>
      <w:pPr>
        <w:spacing w:after="40"/>
      </w:pPr>
      <w:r>
        <w:rPr>
          <w:rFonts w:ascii="Calibri" w:hAnsi="Calibri"/>
          <w:b/>
          <w:color w:val="7A5B2E"/>
          <w:sz w:val="20"/>
        </w:rPr>
        <w:t xml:space="preserve">Biblical support: </w:t>
      </w:r>
      <w:r>
        <w:rPr>
          <w:rFonts w:ascii="Calibri" w:hAnsi="Calibri"/>
          <w:sz w:val="20"/>
        </w:rPr>
        <w:t>Psalm 95:3-5; Revelation 4:11</w:t>
      </w:r>
    </w:p>
    <w:p>
      <w:pPr>
        <w:spacing w:after="40"/>
      </w:pPr>
      <w:r>
        <w:rPr>
          <w:rFonts w:ascii="Calibri" w:hAnsi="Calibri"/>
          <w:b/>
          <w:color w:val="7A5B2E"/>
          <w:sz w:val="20"/>
        </w:rPr>
        <w:t xml:space="preserve">Illustration idea: </w:t>
      </w:r>
      <w:r>
        <w:rPr>
          <w:rFonts w:ascii="Calibri" w:hAnsi="Calibri"/>
          <w:sz w:val="20"/>
        </w:rPr>
        <w:t>A map may show boundaries, but Psalm 95 shows ownership: all creation belongs to God.</w:t>
      </w:r>
    </w:p>
    <w:p>
      <w:pPr>
        <w:spacing w:after="40"/>
      </w:pPr>
      <w:r>
        <w:rPr>
          <w:rFonts w:ascii="Calibri" w:hAnsi="Calibri"/>
          <w:b/>
          <w:color w:val="7A5B2E"/>
          <w:sz w:val="20"/>
        </w:rPr>
        <w:t xml:space="preserve">Application: </w:t>
      </w:r>
      <w:r>
        <w:rPr>
          <w:rFonts w:ascii="Calibri" w:hAnsi="Calibri"/>
          <w:sz w:val="20"/>
        </w:rPr>
        <w:t>Let God’s greatness resize your anxieties, ambitions, and idols.</w:t>
      </w:r>
    </w:p>
    <w:p>
      <w:pPr>
        <w:pStyle w:val="Heading2"/>
      </w:pPr>
      <w:r>
        <w:rPr>
          <w:rFonts w:ascii="Georgia" w:hAnsi="Georgia"/>
          <w:b/>
          <w:color w:val="7A5B2E"/>
        </w:rPr>
        <w:t>3. Bow before the Maker</w:t>
      </w:r>
    </w:p>
    <w:p>
      <w:pPr>
        <w:spacing w:after="40"/>
      </w:pPr>
      <w:r>
        <w:rPr>
          <w:rFonts w:ascii="Calibri" w:hAnsi="Calibri"/>
          <w:b/>
          <w:color w:val="7A5B2E"/>
          <w:sz w:val="20"/>
        </w:rPr>
        <w:t xml:space="preserve">Explanation: </w:t>
      </w:r>
      <w:r>
        <w:rPr>
          <w:rFonts w:ascii="Calibri" w:hAnsi="Calibri"/>
          <w:sz w:val="20"/>
        </w:rPr>
        <w:t>The psalm does not leave us standing at a distance in admiration. It calls us to worship, bow down, and kneel before the Lord our Maker.</w:t>
      </w:r>
    </w:p>
    <w:p>
      <w:pPr>
        <w:spacing w:after="40"/>
      </w:pPr>
      <w:r>
        <w:rPr>
          <w:rFonts w:ascii="Calibri" w:hAnsi="Calibri"/>
          <w:b/>
          <w:color w:val="7A5B2E"/>
          <w:sz w:val="20"/>
        </w:rPr>
        <w:t xml:space="preserve">Hymn connection: </w:t>
      </w:r>
      <w:r>
        <w:rPr>
          <w:rFonts w:ascii="Calibri" w:hAnsi="Calibri"/>
          <w:sz w:val="20"/>
        </w:rPr>
        <w:t>The canticle joins joy with reverence. Glad hearts and humbled knees belong together.</w:t>
      </w:r>
    </w:p>
    <w:p>
      <w:pPr>
        <w:spacing w:after="40"/>
      </w:pPr>
      <w:r>
        <w:rPr>
          <w:rFonts w:ascii="Calibri" w:hAnsi="Calibri"/>
          <w:b/>
          <w:color w:val="7A5B2E"/>
          <w:sz w:val="20"/>
        </w:rPr>
        <w:t xml:space="preserve">Biblical support: </w:t>
      </w:r>
      <w:r>
        <w:rPr>
          <w:rFonts w:ascii="Calibri" w:hAnsi="Calibri"/>
          <w:sz w:val="20"/>
        </w:rPr>
        <w:t>Psalm 95:6</w:t>
      </w:r>
    </w:p>
    <w:p>
      <w:pPr>
        <w:spacing w:after="40"/>
      </w:pPr>
      <w:r>
        <w:rPr>
          <w:rFonts w:ascii="Calibri" w:hAnsi="Calibri"/>
          <w:b/>
          <w:color w:val="7A5B2E"/>
          <w:sz w:val="20"/>
        </w:rPr>
        <w:t xml:space="preserve">Illustration idea: </w:t>
      </w:r>
      <w:r>
        <w:rPr>
          <w:rFonts w:ascii="Calibri" w:hAnsi="Calibri"/>
          <w:sz w:val="20"/>
        </w:rPr>
        <w:t>A person who enters a courtroom or a wedding instinctively changes posture; presence matters.</w:t>
      </w:r>
    </w:p>
    <w:p>
      <w:pPr>
        <w:spacing w:after="40"/>
      </w:pPr>
      <w:r>
        <w:rPr>
          <w:rFonts w:ascii="Calibri" w:hAnsi="Calibri"/>
          <w:b/>
          <w:color w:val="7A5B2E"/>
          <w:sz w:val="20"/>
        </w:rPr>
        <w:t xml:space="preserve">Application: </w:t>
      </w:r>
      <w:r>
        <w:rPr>
          <w:rFonts w:ascii="Calibri" w:hAnsi="Calibri"/>
          <w:sz w:val="20"/>
        </w:rPr>
        <w:t>Recover reverence in worship. Confession, silence, and humility are not interruptions of praise but part of it.</w:t>
      </w:r>
    </w:p>
    <w:p>
      <w:pPr>
        <w:pStyle w:val="Heading2"/>
      </w:pPr>
      <w:r>
        <w:rPr>
          <w:rFonts w:ascii="Georgia" w:hAnsi="Georgia"/>
          <w:b/>
          <w:color w:val="7A5B2E"/>
        </w:rPr>
        <w:t>4. Hear the Shepherd’s voice today</w:t>
      </w:r>
    </w:p>
    <w:p>
      <w:pPr>
        <w:spacing w:after="40"/>
      </w:pPr>
      <w:r>
        <w:rPr>
          <w:rFonts w:ascii="Calibri" w:hAnsi="Calibri"/>
          <w:b/>
          <w:color w:val="7A5B2E"/>
          <w:sz w:val="20"/>
        </w:rPr>
        <w:t xml:space="preserve">Explanation: </w:t>
      </w:r>
      <w:r>
        <w:rPr>
          <w:rFonts w:ascii="Calibri" w:hAnsi="Calibri"/>
          <w:sz w:val="20"/>
        </w:rPr>
        <w:t>The Lord who made all things also gathers a people for himself. The church is not merely an audience but the flock under the Shepherd’s care.</w:t>
      </w:r>
    </w:p>
    <w:p>
      <w:pPr>
        <w:spacing w:after="40"/>
      </w:pPr>
      <w:r>
        <w:rPr>
          <w:rFonts w:ascii="Calibri" w:hAnsi="Calibri"/>
          <w:b/>
          <w:color w:val="7A5B2E"/>
          <w:sz w:val="20"/>
        </w:rPr>
        <w:t xml:space="preserve">Hymn connection: </w:t>
      </w:r>
      <w:r>
        <w:rPr>
          <w:rFonts w:ascii="Calibri" w:hAnsi="Calibri"/>
          <w:sz w:val="20"/>
        </w:rPr>
        <w:t>The final movement turns song toward response. Worship is incomplete if we sing loudly but refuse to listen.</w:t>
      </w:r>
    </w:p>
    <w:p>
      <w:pPr>
        <w:spacing w:after="40"/>
      </w:pPr>
      <w:r>
        <w:rPr>
          <w:rFonts w:ascii="Calibri" w:hAnsi="Calibri"/>
          <w:b/>
          <w:color w:val="7A5B2E"/>
          <w:sz w:val="20"/>
        </w:rPr>
        <w:t xml:space="preserve">Biblical support: </w:t>
      </w:r>
      <w:r>
        <w:rPr>
          <w:rFonts w:ascii="Calibri" w:hAnsi="Calibri"/>
          <w:sz w:val="20"/>
        </w:rPr>
        <w:t>Psalm 95:7; Hebrews 3:7-8; John 10:14-15</w:t>
      </w:r>
    </w:p>
    <w:p>
      <w:pPr>
        <w:spacing w:after="40"/>
      </w:pPr>
      <w:r>
        <w:rPr>
          <w:rFonts w:ascii="Calibri" w:hAnsi="Calibri"/>
          <w:b/>
          <w:color w:val="7A5B2E"/>
          <w:sz w:val="20"/>
        </w:rPr>
        <w:t xml:space="preserve">Illustration idea: </w:t>
      </w:r>
      <w:r>
        <w:rPr>
          <w:rFonts w:ascii="Calibri" w:hAnsi="Calibri"/>
          <w:sz w:val="20"/>
        </w:rPr>
        <w:t>A sheep is safe not because it is strong, but because it knows and follows the shepherd’s voice.</w:t>
      </w:r>
    </w:p>
    <w:p>
      <w:pPr>
        <w:spacing w:after="40"/>
      </w:pPr>
      <w:r>
        <w:rPr>
          <w:rFonts w:ascii="Calibri" w:hAnsi="Calibri"/>
          <w:b/>
          <w:color w:val="7A5B2E"/>
          <w:sz w:val="20"/>
        </w:rPr>
        <w:t xml:space="preserve">Application: </w:t>
      </w:r>
      <w:r>
        <w:rPr>
          <w:rFonts w:ascii="Calibri" w:hAnsi="Calibri"/>
          <w:sz w:val="20"/>
        </w:rPr>
        <w:t>Ask what obedience God is calling for today: repentance, trust, reconciliation, courage, or renewed praise.</w:t>
      </w:r>
    </w:p>
    <w:p>
      <w:pPr>
        <w:pStyle w:val="Heading2"/>
      </w:pPr>
      <w:r>
        <w:rPr>
          <w:rFonts w:ascii="Georgia" w:hAnsi="Georgia"/>
          <w:b/>
          <w:color w:val="7A5B2E"/>
        </w:rPr>
        <w:t>Christ-Centered Connection</w:t>
      </w:r>
    </w:p>
    <w:p>
      <w:pPr>
        <w:spacing w:after="100" w:line="252" w:lineRule="auto"/>
      </w:pPr>
      <w:r>
        <w:rPr>
          <w:rFonts w:ascii="Calibri" w:hAnsi="Calibri"/>
          <w:b w:val="0"/>
          <w:i w:val="0"/>
        </w:rPr>
        <w:t>Psalm 95 calls God’s people the sheep of his care. In John 10, Jesus identifies himself as the good shepherd who knows his own and lays down his life for the sheep. Christian worship hears Psalm 95 with gratitude that the Shepherd who calls us to praise also gives himself for our salvation.</w:t>
      </w:r>
    </w:p>
    <w:p>
      <w:pPr>
        <w:pStyle w:val="Heading2"/>
      </w:pPr>
      <w:r>
        <w:rPr>
          <w:rFonts w:ascii="Georgia" w:hAnsi="Georgia"/>
          <w:b/>
          <w:color w:val="7A5B2E"/>
        </w:rPr>
        <w:t>Pastoral Applications</w:t>
      </w:r>
    </w:p>
    <w:p>
      <w:pPr>
        <w:pStyle w:val="ListBullet"/>
        <w:spacing w:after="60" w:line="252" w:lineRule="auto"/>
      </w:pPr>
      <w:r>
        <w:rPr>
          <w:rFonts w:ascii="Calibri" w:hAnsi="Calibri"/>
          <w:sz w:val="21"/>
        </w:rPr>
        <w:t>To the anxious: the depths and heights are in God’s hands.</w:t>
      </w:r>
    </w:p>
    <w:p>
      <w:pPr>
        <w:pStyle w:val="ListBullet"/>
        <w:spacing w:after="60" w:line="252" w:lineRule="auto"/>
      </w:pPr>
      <w:r>
        <w:rPr>
          <w:rFonts w:ascii="Calibri" w:hAnsi="Calibri"/>
          <w:sz w:val="21"/>
        </w:rPr>
        <w:t>To the weary: come before the Lord; worship is not earned by strength.</w:t>
      </w:r>
    </w:p>
    <w:p>
      <w:pPr>
        <w:pStyle w:val="ListBullet"/>
        <w:spacing w:after="60" w:line="252" w:lineRule="auto"/>
      </w:pPr>
      <w:r>
        <w:rPr>
          <w:rFonts w:ascii="Calibri" w:hAnsi="Calibri"/>
          <w:sz w:val="21"/>
        </w:rPr>
        <w:t>To the proud: bow before your Maker and receive humility as grace.</w:t>
      </w:r>
    </w:p>
    <w:p>
      <w:pPr>
        <w:pStyle w:val="ListBullet"/>
        <w:spacing w:after="60" w:line="252" w:lineRule="auto"/>
      </w:pPr>
      <w:r>
        <w:rPr>
          <w:rFonts w:ascii="Calibri" w:hAnsi="Calibri"/>
          <w:sz w:val="21"/>
        </w:rPr>
        <w:t>To the joyful: let thanksgiving become witness.</w:t>
      </w:r>
    </w:p>
    <w:p>
      <w:pPr>
        <w:pStyle w:val="ListBullet"/>
        <w:spacing w:after="60" w:line="252" w:lineRule="auto"/>
      </w:pPr>
      <w:r>
        <w:rPr>
          <w:rFonts w:ascii="Calibri" w:hAnsi="Calibri"/>
          <w:sz w:val="21"/>
        </w:rPr>
        <w:t>To the drifting: hear his voice today and follow the Shepherd home.</w:t>
      </w:r>
    </w:p>
    <w:p>
      <w:pPr>
        <w:pStyle w:val="Heading2"/>
      </w:pPr>
      <w:r>
        <w:rPr>
          <w:rFonts w:ascii="Georgia" w:hAnsi="Georgia"/>
          <w:b/>
          <w:color w:val="7A5B2E"/>
        </w:rPr>
        <w:t>Conclusion and Call to Response</w:t>
      </w:r>
    </w:p>
    <w:p>
      <w:pPr>
        <w:spacing w:after="100" w:line="252" w:lineRule="auto"/>
      </w:pPr>
      <w:r>
        <w:rPr>
          <w:rFonts w:ascii="Calibri" w:hAnsi="Calibri"/>
          <w:b w:val="0"/>
          <w:i w:val="0"/>
        </w:rPr>
        <w:t>The Venite is a doorway into worship and a summons into life. Come and sing. Come with thanksgiving. Bow before the Maker. Hear the Shepherd today. Do not leave worship with only a song on your lips; leave with God’s voice in your heart and obedience in your steps.</w:t>
      </w:r>
    </w:p>
    <w:p>
      <w:pPr>
        <w:pStyle w:val="Heading2"/>
      </w:pPr>
      <w:r>
        <w:rPr>
          <w:rFonts w:ascii="Georgia" w:hAnsi="Georgia"/>
          <w:b/>
          <w:color w:val="7A5B2E"/>
        </w:rPr>
        <w:t>Suggested Closing Prayer</w:t>
      </w:r>
    </w:p>
    <w:p>
      <w:pPr>
        <w:spacing w:after="100" w:line="252" w:lineRule="auto"/>
      </w:pPr>
      <w:r>
        <w:rPr>
          <w:rFonts w:ascii="Calibri" w:hAnsi="Calibri"/>
          <w:b w:val="0"/>
          <w:i/>
        </w:rPr>
        <w:t>Lord God, Creator, King, Maker, and Shepherd, receive our praise and teach us to hear your voice. Gather us with joy, humble us with reverence, and lead us in the way of Christ, the good shepherd. Amen.</w:t>
      </w:r>
    </w:p>
    <w:sectPr w:rsidR="00FC693F" w:rsidRPr="0006063C" w:rsidSect="00034616">
      <w:footerReference w:type="default" r:id="rId9"/>
      <w:pgSz w:w="12240" w:h="15840"/>
      <w:pgMar w:top="792"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666666"/>
        <w:sz w:val="16"/>
      </w:rPr>
      <w:t>Prepared for teaching and small group use - hymninfo.com</w:t>
    </w:r>
  </w:p>
  <w:p>
    <w:pPr>
      <w:jc w:val="center"/>
    </w:pPr>
    <w:r>
      <w:rPr>
        <w:rFonts w:ascii="Calibri" w:hAnsi="Calibri"/>
        <w:color w:val="777777"/>
        <w:sz w:val="14"/>
      </w:rPr>
      <w:t>© HymnInfo.com. Free for personal, church, classroom, and small-group teaching use. Please do not sell, repost, or redistribute as downloadable files without permission.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Canticle of Praise to God (Venite Exultemus) Sermon Outline</dc:title>
  <dc:subject>Hymn study resource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Hymn study resource</cp:category>
</cp:coreProperties>
</file>