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D3557"/>
          <w:sz w:val="48"/>
        </w:rPr>
        <w:t>Children of the Heavenly Father</w:t>
      </w:r>
    </w:p>
    <w:p>
      <w:pPr>
        <w:jc w:val="center"/>
      </w:pPr>
      <w:r>
        <w:rPr>
          <w:i/>
          <w:color w:val="2D5C88"/>
          <w:sz w:val="24"/>
        </w:rPr>
        <w:t>Sermon Outline: Safe in the Father’s Keeping</w:t>
      </w:r>
    </w:p>
    <w:p>
      <w:pPr>
        <w:jc w:val="center"/>
      </w:pPr>
      <w:r>
        <w:rPr>
          <w:color w:val="5A5A5A"/>
          <w:sz w:val="18"/>
        </w:rPr>
        <w:t>1855 • Karolina Wilhelmina Sandell-Berg • Traditional Swedish Melody • Sermon Outline</w:t>
      </w:r>
    </w:p>
    <w:p/>
    <w:p>
      <w:pPr>
        <w:pStyle w:val="Heading1"/>
      </w:pPr>
      <w:r>
        <w:t>Suggested Text</w:t>
      </w:r>
    </w:p>
    <w:p>
      <w:r>
        <w:t>Primary focus: Psalm 103:13-14; John 10:28-29; Romans 8:38-39. Supporting texts: Matthew 6:26-27; Psalm 91:1-4; Isaiah 49:15-16.</w:t>
      </w:r>
    </w:p>
    <w:p>
      <w:pPr>
        <w:pStyle w:val="Heading1"/>
      </w:pPr>
      <w:r>
        <w:t>Big Idea</w:t>
      </w:r>
    </w:p>
    <w:p>
      <w:r>
        <w:t>God’s children are not spared from every sorrow, but they are never abandoned: the Father knows, shelters, preserves, and comforts His own.</w:t>
      </w:r>
    </w:p>
    <w:p>
      <w:pPr>
        <w:pStyle w:val="Heading1"/>
      </w:pPr>
      <w:r>
        <w:t>Introduction</w:t>
      </w:r>
    </w:p>
    <w:p>
      <w:pPr>
        <w:pStyle w:val="ListBullet"/>
        <w:spacing w:after="40"/>
      </w:pPr>
      <w:r>
        <w:t>This hymn is simple enough for children and deep enough for funerals.</w:t>
      </w:r>
    </w:p>
    <w:p>
      <w:pPr>
        <w:pStyle w:val="ListBullet"/>
        <w:spacing w:after="40"/>
      </w:pPr>
      <w:r>
        <w:t>It is not about human fathers or Father’s Day; it is about the heavenly Father’s faithful care.</w:t>
      </w:r>
    </w:p>
    <w:p>
      <w:pPr>
        <w:pStyle w:val="ListBullet"/>
        <w:spacing w:after="40"/>
      </w:pPr>
      <w:r>
        <w:t>The pastoral power of the hymn is that it names security without denying sorrow.</w:t>
      </w:r>
    </w:p>
    <w:p>
      <w:pPr>
        <w:pStyle w:val="Heading1"/>
      </w:pPr>
      <w:r>
        <w:t>I. The Father Gathers His Children</w:t>
      </w:r>
    </w:p>
    <w:p>
      <w:pPr>
        <w:pStyle w:val="ListBullet"/>
        <w:spacing w:after="40"/>
      </w:pPr>
      <w:r>
        <w:t>“Children of the heavenly Father” begins with identity before instruction.</w:t>
      </w:r>
    </w:p>
    <w:p>
      <w:pPr>
        <w:pStyle w:val="ListBullet"/>
        <w:spacing w:after="40"/>
      </w:pPr>
      <w:r>
        <w:t>Matthew 6 teaches that the Father sees and values His children.</w:t>
      </w:r>
    </w:p>
    <w:p>
      <w:pPr>
        <w:pStyle w:val="ListBullet"/>
        <w:spacing w:after="40"/>
      </w:pPr>
      <w:r>
        <w:t>Pastoral movement: before telling anxious people what to do, remind them who holds them.</w:t>
      </w:r>
    </w:p>
    <w:p>
      <w:pPr>
        <w:pStyle w:val="Heading1"/>
      </w:pPr>
      <w:r>
        <w:t>II. The Father Shelters Without Pretending Life Is Easy</w:t>
      </w:r>
    </w:p>
    <w:p>
      <w:pPr>
        <w:pStyle w:val="ListBullet"/>
        <w:spacing w:after="40"/>
      </w:pPr>
      <w:r>
        <w:t>Psalm 91 speaks of refuge under God’s wings.</w:t>
      </w:r>
    </w:p>
    <w:p>
      <w:pPr>
        <w:pStyle w:val="ListBullet"/>
        <w:spacing w:after="40"/>
      </w:pPr>
      <w:r>
        <w:t>The hymn acknowledges danger, loss, and death while refusing despair.</w:t>
      </w:r>
    </w:p>
    <w:p>
      <w:pPr>
        <w:pStyle w:val="ListBullet"/>
        <w:spacing w:after="40"/>
      </w:pPr>
      <w:r>
        <w:t>Christian comfort is not denial; it is trust in the faithful presence of God.</w:t>
      </w:r>
    </w:p>
    <w:p>
      <w:pPr>
        <w:pStyle w:val="Heading1"/>
      </w:pPr>
      <w:r>
        <w:t>III. The Father Preserves What He Has Claimed</w:t>
      </w:r>
    </w:p>
    <w:p>
      <w:pPr>
        <w:pStyle w:val="ListBullet"/>
        <w:spacing w:after="40"/>
      </w:pPr>
      <w:r>
        <w:t>John 10:28-29: no one can snatch Christ’s sheep from the Father’s hand.</w:t>
      </w:r>
    </w:p>
    <w:p>
      <w:pPr>
        <w:pStyle w:val="ListBullet"/>
        <w:spacing w:after="40"/>
      </w:pPr>
      <w:r>
        <w:t>Romans 8:38-39: no created thing can separate believers from God’s love.</w:t>
      </w:r>
    </w:p>
    <w:p>
      <w:pPr>
        <w:pStyle w:val="ListBullet"/>
        <w:spacing w:after="40"/>
      </w:pPr>
      <w:r>
        <w:t>Assurance is grounded in God’s keeping, not our grip on God.</w:t>
      </w:r>
    </w:p>
    <w:p>
      <w:pPr>
        <w:pStyle w:val="Heading1"/>
      </w:pPr>
      <w:r>
        <w:t>IV. The Father’s Care Forms a Comforting People</w:t>
      </w:r>
    </w:p>
    <w:p>
      <w:pPr>
        <w:pStyle w:val="ListBullet"/>
        <w:spacing w:after="40"/>
      </w:pPr>
      <w:r>
        <w:t>A congregation shaped by this hymn becomes gentle with the anxious and grieving.</w:t>
      </w:r>
    </w:p>
    <w:p>
      <w:pPr>
        <w:pStyle w:val="ListBullet"/>
        <w:spacing w:after="40"/>
      </w:pPr>
      <w:r>
        <w:t>Baptism, funeral, and children’s ministry all need this theology of belonging.</w:t>
      </w:r>
    </w:p>
    <w:p>
      <w:pPr>
        <w:pStyle w:val="ListBullet"/>
        <w:spacing w:after="40"/>
      </w:pPr>
      <w:r>
        <w:t>Comfort received from God becomes comfort offered to others.</w:t>
      </w:r>
    </w:p>
    <w:p>
      <w:pPr>
        <w:pStyle w:val="Heading1"/>
      </w:pPr>
      <w:r>
        <w:t>Theological Cautions</w:t>
      </w:r>
    </w:p>
    <w:p>
      <w:pPr>
        <w:pStyle w:val="ListBullet"/>
        <w:spacing w:after="40"/>
      </w:pPr>
      <w:r>
        <w:t>Do not say the hymn was certainly caused by Sandell’s father’s drowning; the 1855 publication predates that 1858 event.</w:t>
      </w:r>
    </w:p>
    <w:p>
      <w:pPr>
        <w:pStyle w:val="ListBullet"/>
        <w:spacing w:after="40"/>
      </w:pPr>
      <w:r>
        <w:t>Do not use the hymn to promise freedom from all suffering.</w:t>
      </w:r>
    </w:p>
    <w:p>
      <w:pPr>
        <w:pStyle w:val="ListBullet"/>
        <w:spacing w:after="40"/>
      </w:pPr>
      <w:r>
        <w:t>Do not reduce “Father” language to sentiment; Scripture presents the Father as compassionate, sovereign, and faithful.</w:t>
      </w:r>
    </w:p>
    <w:p>
      <w:pPr>
        <w:pStyle w:val="Heading1"/>
      </w:pPr>
      <w:r>
        <w:t>Gospel Invitation</w:t>
      </w:r>
    </w:p>
    <w:p>
      <w:r>
        <w:t>The security sung in this hymn belongs to those held by Christ. The Good Shepherd gives eternal life, and the Father’s hand is stronger than death, fear, and every enemy.</w:t>
      </w:r>
    </w:p>
    <w:p>
      <w:pPr>
        <w:pStyle w:val="Heading1"/>
      </w:pPr>
      <w:r>
        <w:t>Conclusion</w:t>
      </w:r>
    </w:p>
    <w:p>
      <w:r>
        <w:t>Children of the Heavenly Father teaches us to rest not in circumstances but in the Father’s faithful character. We are known, sheltered, and kept in Christ.</w:t>
      </w:r>
    </w:p>
    <w:p>
      <w:pPr>
        <w:pStyle w:val="Heading1"/>
      </w:pPr>
      <w:r>
        <w:t>Closing Prayer</w:t>
      </w:r>
    </w:p>
    <w:p>
      <w:r>
        <w:t>Father, keep Your children near to You. In fear, give trust; in grief, give hope; in weakness, give assurance; and through us, give comfort to others. Amen.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87878"/>
        <w:sz w:val="16"/>
      </w:rPr>
      <w:t>HymnInfo Teaching Resource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color w:val="2D5C88"/>
        <w:sz w:val="16"/>
      </w:rPr>
      <w:t>Children of the Heavenly Father | Sermon Outline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1D3557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 w:eastAsia="Aptos Display"/>
      <w:b/>
      <w:bCs/>
      <w:color w:val="2D5C8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 w:eastAsia="Aptos Display"/>
      <w:b/>
      <w:bCs/>
      <w:color w:val="162033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 w:eastAsia="Aptos Display"/>
      <w:b/>
      <w:color w:val="1D3557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