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1D3557"/>
          <w:sz w:val="48"/>
        </w:rPr>
        <w:t>Children of the Heavenly Father</w:t>
      </w:r>
    </w:p>
    <w:p>
      <w:pPr>
        <w:jc w:val="center"/>
      </w:pPr>
      <w:r>
        <w:rPr>
          <w:i/>
          <w:color w:val="2D5C88"/>
          <w:sz w:val="24"/>
        </w:rPr>
        <w:t>Small Group Study Guide: Trust, Comfort, Assurance, and the Heavenly Father</w:t>
      </w:r>
    </w:p>
    <w:p>
      <w:pPr>
        <w:jc w:val="center"/>
      </w:pPr>
      <w:r>
        <w:rPr>
          <w:color w:val="5A5A5A"/>
          <w:sz w:val="18"/>
        </w:rPr>
        <w:t>1855 • Karolina Wilhelmina Sandell-Berg • Traditional Swedish Melody • Small Group Handout</w:t>
      </w:r>
    </w:p>
    <w:p/>
    <w:p>
      <w:pPr>
        <w:pStyle w:val="Heading1"/>
      </w:pPr>
      <w:r>
        <w:t>Purpose</w:t>
      </w:r>
    </w:p>
    <w:p>
      <w:pPr>
        <w:pStyle w:val="ListBullet"/>
        <w:spacing w:after="40"/>
      </w:pPr>
      <w:r>
        <w:t>To understand the hymn as a confession of God’s fatherly care and providential keeping.</w:t>
      </w:r>
    </w:p>
    <w:p>
      <w:pPr>
        <w:pStyle w:val="ListBullet"/>
        <w:spacing w:after="40"/>
      </w:pPr>
      <w:r>
        <w:t>To distinguish biblical assurance from shallow optimism or denial of grief.</w:t>
      </w:r>
    </w:p>
    <w:p>
      <w:pPr>
        <w:pStyle w:val="ListBullet"/>
        <w:spacing w:after="40"/>
      </w:pPr>
      <w:r>
        <w:t>To practice comforting one another with Scripture, prayer, and faithful presence.</w:t>
      </w:r>
    </w:p>
    <w:p>
      <w:pPr>
        <w:pStyle w:val="Heading1"/>
      </w:pPr>
      <w:r>
        <w:t>Opening Reflection</w:t>
      </w:r>
    </w:p>
    <w:p>
      <w:r>
        <w:t>When have you most needed to hear that you are safely held by God? What difference does it make to call Him “Heavenly Father”?</w:t>
      </w:r>
    </w:p>
    <w:p>
      <w:pPr>
        <w:pStyle w:val="Heading1"/>
      </w:pPr>
      <w:r>
        <w:t>Hymn Snapshot</w:t>
      </w:r>
    </w:p>
    <w:tbl>
      <w:tblPr>
        <w:tblStyle w:val="TableGrid"/>
        <w:tblW w:type="auto" w:w="0"/>
        <w:jc w:val="center"/>
        <w:tblLook w:firstColumn="1" w:firstRow="1" w:lastColumn="0" w:lastRow="0" w:noHBand="0" w:noVBand="1" w:val="04A0"/>
      </w:tblPr>
      <w:tblGrid>
        <w:gridCol w:w="5256"/>
        <w:gridCol w:w="5256"/>
      </w:tblGrid>
      <w:tr>
        <w:tc>
          <w:tcPr>
            <w:tcW w:type="dxa" w:w="5256"/>
            <w:shd w:fill="E8DDC8"/>
          </w:tcPr>
          <w:p>
            <w:r>
              <w:rPr>
                <w:sz w:val="18"/>
              </w:rPr>
              <w:t>Title</w:t>
            </w:r>
          </w:p>
        </w:tc>
        <w:tc>
          <w:tcPr>
            <w:tcW w:type="dxa" w:w="5256"/>
          </w:tcPr>
          <w:p>
            <w:r>
              <w:rPr>
                <w:sz w:val="18"/>
              </w:rPr>
              <w:t>Children of the Heavenly Father</w:t>
            </w:r>
          </w:p>
        </w:tc>
      </w:tr>
      <w:tr>
        <w:tc>
          <w:tcPr>
            <w:tcW w:type="dxa" w:w="5256"/>
            <w:shd w:fill="E8DDC8"/>
          </w:tcPr>
          <w:p>
            <w:r>
              <w:rPr>
                <w:sz w:val="18"/>
              </w:rPr>
              <w:t>First line</w:t>
            </w:r>
          </w:p>
        </w:tc>
        <w:tc>
          <w:tcPr>
            <w:tcW w:type="dxa" w:w="5256"/>
          </w:tcPr>
          <w:p>
            <w:r>
              <w:rPr>
                <w:sz w:val="18"/>
              </w:rPr>
              <w:t>Children of the heavenly Father</w:t>
            </w:r>
          </w:p>
        </w:tc>
      </w:tr>
      <w:tr>
        <w:tc>
          <w:tcPr>
            <w:tcW w:type="dxa" w:w="5256"/>
            <w:shd w:fill="E8DDC8"/>
          </w:tcPr>
          <w:p>
            <w:r>
              <w:rPr>
                <w:sz w:val="18"/>
              </w:rPr>
              <w:t>Year written</w:t>
            </w:r>
          </w:p>
        </w:tc>
        <w:tc>
          <w:tcPr>
            <w:tcW w:type="dxa" w:w="5256"/>
          </w:tcPr>
          <w:p>
            <w:r>
              <w:rPr>
                <w:sz w:val="18"/>
              </w:rPr>
              <w:t>1855</w:t>
            </w:r>
          </w:p>
        </w:tc>
      </w:tr>
      <w:tr>
        <w:tc>
          <w:tcPr>
            <w:tcW w:type="dxa" w:w="5256"/>
            <w:shd w:fill="E8DDC8"/>
          </w:tcPr>
          <w:p>
            <w:r>
              <w:rPr>
                <w:sz w:val="18"/>
              </w:rPr>
              <w:t>Original Swedish title</w:t>
            </w:r>
          </w:p>
        </w:tc>
        <w:tc>
          <w:tcPr>
            <w:tcW w:type="dxa" w:w="5256"/>
          </w:tcPr>
          <w:p>
            <w:r>
              <w:rPr>
                <w:sz w:val="18"/>
              </w:rPr>
              <w:t>Tryggare kan ingen vara</w:t>
            </w:r>
          </w:p>
        </w:tc>
      </w:tr>
      <w:tr>
        <w:tc>
          <w:tcPr>
            <w:tcW w:type="dxa" w:w="5256"/>
            <w:shd w:fill="E8DDC8"/>
          </w:tcPr>
          <w:p>
            <w:r>
              <w:rPr>
                <w:sz w:val="18"/>
              </w:rPr>
              <w:t>Author</w:t>
            </w:r>
          </w:p>
        </w:tc>
        <w:tc>
          <w:tcPr>
            <w:tcW w:type="dxa" w:w="5256"/>
          </w:tcPr>
          <w:p>
            <w:r>
              <w:rPr>
                <w:sz w:val="18"/>
              </w:rPr>
              <w:t>Karolina Wilhelmina Sandell-Berg</w:t>
            </w:r>
          </w:p>
        </w:tc>
      </w:tr>
      <w:tr>
        <w:tc>
          <w:tcPr>
            <w:tcW w:type="dxa" w:w="5256"/>
            <w:shd w:fill="E8DDC8"/>
          </w:tcPr>
          <w:p>
            <w:r>
              <w:rPr>
                <w:sz w:val="18"/>
              </w:rPr>
              <w:t>Translator</w:t>
            </w:r>
          </w:p>
        </w:tc>
        <w:tc>
          <w:tcPr>
            <w:tcW w:type="dxa" w:w="5256"/>
          </w:tcPr>
          <w:p>
            <w:r>
              <w:rPr>
                <w:sz w:val="18"/>
              </w:rPr>
              <w:t>Ernst Wilhelm Olson</w:t>
            </w:r>
          </w:p>
        </w:tc>
      </w:tr>
      <w:tr>
        <w:tc>
          <w:tcPr>
            <w:tcW w:type="dxa" w:w="5256"/>
            <w:shd w:fill="E8DDC8"/>
          </w:tcPr>
          <w:p>
            <w:r>
              <w:rPr>
                <w:sz w:val="18"/>
              </w:rPr>
              <w:t>Tune</w:t>
            </w:r>
          </w:p>
        </w:tc>
        <w:tc>
          <w:tcPr>
            <w:tcW w:type="dxa" w:w="5256"/>
          </w:tcPr>
          <w:p>
            <w:r>
              <w:rPr>
                <w:sz w:val="18"/>
              </w:rPr>
              <w:t>Traditional Swedish Melody</w:t>
            </w:r>
          </w:p>
        </w:tc>
      </w:tr>
    </w:tbl>
    <w:p>
      <w:pPr>
        <w:pStyle w:val="Heading1"/>
      </w:pPr>
      <w:r>
        <w:t>Background in Brief</w:t>
      </w:r>
    </w:p>
    <w:p>
      <w:r>
        <w:t>Karolina Wilhelmina Sandell-Berg, widely known as Lina Sandell, wrote the Swedish text Tryggare kan ingen vara. Hymnal evidence commonly identifies the text with Andeliga daggdroppar, published in 1855, where it appeared anonymously.</w:t>
      </w:r>
    </w:p>
    <w:p>
      <w:r>
        <w:t>The origin story requires care. Some later accounts connect the hymn to the tragic drowning of Sandell’s father, which she witnessed in 1858, and that tragedy certainly shaped her life and the reception of many of her hymns. However, because the hymn is documented in print by 1855, the drowning should not be stated as the definite cause of this text. Other traditions place its inspiration earlier in Sandell’s youth, connected with images of birds and stars that appear in the Swedish text.</w:t>
      </w:r>
    </w:p>
    <w:p>
      <w:r>
        <w:t>Ernst W. Olson translated the hymn into English, and his version appeared in the 1925 Hymnal and Order of Service of the Augustana Synod. The tune TRYGGARE KAN INGEN VARA is usually identified as a traditional Swedish melody, though related melodic forms may have circulated more widely in northern Europe.</w:t>
      </w:r>
    </w:p>
    <w:p>
      <w:pPr>
        <w:pStyle w:val="Heading1"/>
      </w:pPr>
      <w:r>
        <w:t>Key Scripture Foundations</w:t>
      </w:r>
    </w:p>
    <w:tbl>
      <w:tblPr>
        <w:tblStyle w:val="TableGrid"/>
        <w:tblW w:type="auto" w:w="0"/>
        <w:jc w:val="center"/>
        <w:tblLook w:firstColumn="1" w:firstRow="1" w:lastColumn="0" w:lastRow="0" w:noHBand="0" w:noVBand="1" w:val="04A0"/>
      </w:tblPr>
      <w:tblGrid>
        <w:gridCol w:w="5256"/>
        <w:gridCol w:w="5256"/>
      </w:tblGrid>
      <w:tr>
        <w:tc>
          <w:tcPr>
            <w:tcW w:type="dxa" w:w="5256"/>
            <w:shd w:fill="1D3557"/>
            <w:vAlign w:val="top"/>
          </w:tcPr>
          <w:p>
            <w:r>
              <w:rPr>
                <w:b/>
                <w:color w:val="FFFFFF"/>
                <w:sz w:val="17"/>
              </w:rPr>
              <w:t>Reference</w:t>
            </w:r>
          </w:p>
        </w:tc>
        <w:tc>
          <w:tcPr>
            <w:tcW w:type="dxa" w:w="5256"/>
            <w:shd w:fill="1D3557"/>
            <w:vAlign w:val="top"/>
          </w:tcPr>
          <w:p>
            <w:r>
              <w:rPr>
                <w:b/>
                <w:color w:val="FFFFFF"/>
                <w:sz w:val="17"/>
              </w:rPr>
              <w:t>Hymn Connection</w:t>
            </w:r>
          </w:p>
        </w:tc>
      </w:tr>
      <w:tr>
        <w:tc>
          <w:tcPr>
            <w:tcW w:type="dxa" w:w="5256"/>
            <w:vAlign w:val="top"/>
          </w:tcPr>
          <w:p>
            <w:r>
              <w:rPr>
                <w:sz w:val="17"/>
              </w:rPr>
              <w:t>Matthew 6:26-27</w:t>
            </w:r>
          </w:p>
        </w:tc>
        <w:tc>
          <w:tcPr>
            <w:tcW w:type="dxa" w:w="5256"/>
            <w:vAlign w:val="top"/>
          </w:tcPr>
          <w:p>
            <w:r>
              <w:rPr>
                <w:sz w:val="17"/>
              </w:rPr>
              <w:t>See the birds of the sky, that they don’t sow, neither do they reap, nor gather into barns. Your heavenly Father feeds them. Aren’t you of much more value than they? Which of you by being anxious can add one moment to his lifespan?</w:t>
            </w:r>
          </w:p>
        </w:tc>
      </w:tr>
      <w:tr>
        <w:tc>
          <w:tcPr>
            <w:tcW w:type="dxa" w:w="5256"/>
            <w:vAlign w:val="top"/>
          </w:tcPr>
          <w:p>
            <w:r>
              <w:rPr>
                <w:sz w:val="17"/>
              </w:rPr>
              <w:t>Psalm 91:1-4</w:t>
            </w:r>
          </w:p>
        </w:tc>
        <w:tc>
          <w:tcPr>
            <w:tcW w:type="dxa" w:w="5256"/>
            <w:vAlign w:val="top"/>
          </w:tcPr>
          <w:p>
            <w:r>
              <w:rPr>
                <w:sz w:val="17"/>
              </w:rPr>
              <w:t>He who dwells in the secret place of the Most High will rest in the shadow of the Almighty. I will say of Yahweh, “He is my refuge and my fortress; my God, in whom I trust.” For he will deliver you from the snare of the fowler, and from the deadly pestilence. He will cover you with his feathers. Under his wings you will take refuge. His f...</w:t>
            </w:r>
          </w:p>
        </w:tc>
      </w:tr>
      <w:tr>
        <w:tc>
          <w:tcPr>
            <w:tcW w:type="dxa" w:w="5256"/>
            <w:vAlign w:val="top"/>
          </w:tcPr>
          <w:p>
            <w:r>
              <w:rPr>
                <w:sz w:val="17"/>
              </w:rPr>
              <w:t>Psalm 103:13-14</w:t>
            </w:r>
          </w:p>
        </w:tc>
        <w:tc>
          <w:tcPr>
            <w:tcW w:type="dxa" w:w="5256"/>
            <w:vAlign w:val="top"/>
          </w:tcPr>
          <w:p>
            <w:r>
              <w:rPr>
                <w:sz w:val="17"/>
              </w:rPr>
              <w:t>Like a father has compassion on his children, so Yahweh has compassion on those who fear him. For he knows how we are made. He remembers that we are dust.</w:t>
            </w:r>
          </w:p>
        </w:tc>
      </w:tr>
      <w:tr>
        <w:tc>
          <w:tcPr>
            <w:tcW w:type="dxa" w:w="5256"/>
            <w:vAlign w:val="top"/>
          </w:tcPr>
          <w:p>
            <w:r>
              <w:rPr>
                <w:sz w:val="17"/>
              </w:rPr>
              <w:t>John 10:28-29</w:t>
            </w:r>
          </w:p>
        </w:tc>
        <w:tc>
          <w:tcPr>
            <w:tcW w:type="dxa" w:w="5256"/>
            <w:vAlign w:val="top"/>
          </w:tcPr>
          <w:p>
            <w:r>
              <w:rPr>
                <w:sz w:val="17"/>
              </w:rPr>
              <w:t>I give eternal life to them. They will never perish, and no one will snatch them out of my hand. My Father who has given them to me is greater than all. No one is able to snatch them out of my Father’s hand.</w:t>
            </w:r>
          </w:p>
        </w:tc>
      </w:tr>
      <w:tr>
        <w:tc>
          <w:tcPr>
            <w:tcW w:type="dxa" w:w="5256"/>
            <w:vAlign w:val="top"/>
          </w:tcPr>
          <w:p>
            <w:r>
              <w:rPr>
                <w:sz w:val="17"/>
              </w:rPr>
              <w:t>Romans 8:38-39</w:t>
            </w:r>
          </w:p>
        </w:tc>
        <w:tc>
          <w:tcPr>
            <w:tcW w:type="dxa" w:w="5256"/>
            <w:vAlign w:val="top"/>
          </w:tcPr>
          <w:p>
            <w:r>
              <w:rPr>
                <w:sz w:val="17"/>
              </w:rPr>
              <w:t>For I am persuaded that neither death, nor life, nor angels, nor principalities, nor things present, nor things to come, nor powers, nor height, nor depth, nor any other created thing will be able to separate us from God’s love which is in Christ Jesus our Lord.</w:t>
            </w:r>
          </w:p>
        </w:tc>
      </w:tr>
    </w:tbl>
    <w:p>
      <w:r>
        <w:br w:type="page"/>
      </w:r>
    </w:p>
    <w:p>
      <w:pPr>
        <w:pStyle w:val="Heading1"/>
      </w:pPr>
      <w:r>
        <w:t>Main Teaching Themes</w:t>
      </w:r>
    </w:p>
    <w:p>
      <w:pPr>
        <w:pStyle w:val="Heading2"/>
      </w:pPr>
      <w:r>
        <w:t>1. We belong to the Heavenly Father</w:t>
      </w:r>
    </w:p>
    <w:p>
      <w:r>
        <w:t>The hymn speaks to believers as children of God. Its comfort begins with identity: we are not abandoned or nameless; we are gathered into the Father’s care.</w:t>
      </w:r>
    </w:p>
    <w:p>
      <w:pPr>
        <w:pStyle w:val="Heading2"/>
      </w:pPr>
      <w:r>
        <w:t>2. God shelters His children without denying suffering</w:t>
      </w:r>
    </w:p>
    <w:p>
      <w:r>
        <w:t>The hymn is often used at funerals because it does not pretend that loss is unreal. It confesses that God keeps His children even in sorrow and death.</w:t>
      </w:r>
    </w:p>
    <w:p>
      <w:pPr>
        <w:pStyle w:val="Heading2"/>
      </w:pPr>
      <w:r>
        <w:t>3. Assurance rests in God’s faithfulness</w:t>
      </w:r>
    </w:p>
    <w:p>
      <w:r>
        <w:t>The security of God’s children does not depend on mood, strength, or circumstances. It rests on the Father’s compassion, Christ’s hand, and the Spirit’s preserving work.</w:t>
      </w:r>
    </w:p>
    <w:p>
      <w:pPr>
        <w:pStyle w:val="Heading2"/>
      </w:pPr>
      <w:r>
        <w:t>4. Comfort becomes ministry</w:t>
      </w:r>
    </w:p>
    <w:p>
      <w:r>
        <w:t>Those who have received comfort are called to become gentle witnesses of that comfort to children, mourners, and the anxious.</w:t>
      </w:r>
    </w:p>
    <w:p>
      <w:pPr>
        <w:pStyle w:val="Heading1"/>
      </w:pPr>
      <w:r>
        <w:t>Discussion Questions</w:t>
      </w:r>
    </w:p>
    <w:p>
      <w:pPr>
        <w:pStyle w:val="ListBullet"/>
        <w:spacing w:after="40"/>
      </w:pPr>
      <w:r>
        <w:t>How does the hymn describe the security of God’s children?</w:t>
      </w:r>
    </w:p>
    <w:p>
      <w:pPr>
        <w:pStyle w:val="ListBullet"/>
        <w:spacing w:after="40"/>
      </w:pPr>
      <w:r>
        <w:t>Why is it important not to make the father’s drowning story the certain origin of the hymn?</w:t>
      </w:r>
    </w:p>
    <w:p>
      <w:pPr>
        <w:pStyle w:val="ListBullet"/>
        <w:spacing w:after="40"/>
      </w:pPr>
      <w:r>
        <w:t>How does the hymn comfort without denying suffering or death?</w:t>
      </w:r>
    </w:p>
    <w:p>
      <w:pPr>
        <w:pStyle w:val="ListBullet"/>
        <w:spacing w:after="40"/>
      </w:pPr>
      <w:r>
        <w:t>What biblical passages best support the hymn’s assurance?</w:t>
      </w:r>
    </w:p>
    <w:p>
      <w:pPr>
        <w:pStyle w:val="ListBullet"/>
        <w:spacing w:after="40"/>
      </w:pPr>
      <w:r>
        <w:t>How can congregations use this hymn with children, mourners, and those facing anxiety?</w:t>
      </w:r>
    </w:p>
    <w:p>
      <w:pPr>
        <w:pStyle w:val="ListBullet"/>
        <w:spacing w:after="40"/>
      </w:pPr>
      <w:r>
        <w:t>What does it mean to trust God’s loving purpose when he gives and when he takes away?</w:t>
      </w:r>
    </w:p>
    <w:p>
      <w:pPr>
        <w:pStyle w:val="Heading1"/>
      </w:pPr>
      <w:r>
        <w:t>Personal Application</w:t>
      </w:r>
    </w:p>
    <w:p>
      <w:pPr>
        <w:pStyle w:val="ListBullet"/>
        <w:spacing w:after="40"/>
      </w:pPr>
      <w:r>
        <w:t>Bring anxiety to God in prayer, remembering that the heavenly Father cares for his children.</w:t>
      </w:r>
    </w:p>
    <w:p>
      <w:pPr>
        <w:pStyle w:val="ListBullet"/>
        <w:spacing w:after="40"/>
      </w:pPr>
      <w:r>
        <w:t>Use the hymn to comfort those grieving without denying the reality of loss.</w:t>
      </w:r>
    </w:p>
    <w:p>
      <w:pPr>
        <w:pStyle w:val="ListBullet"/>
        <w:spacing w:after="40"/>
      </w:pPr>
      <w:r>
        <w:t>Teach children and adults that Christian assurance rests in God’s faithfulness, not in changing circumstances.</w:t>
      </w:r>
    </w:p>
    <w:p>
      <w:pPr>
        <w:pStyle w:val="ListBullet"/>
        <w:spacing w:after="40"/>
      </w:pPr>
      <w:r>
        <w:t>Remember that God’s fatherly care includes protection, compassion, discipline, and preservation in faith.</w:t>
      </w:r>
    </w:p>
    <w:p>
      <w:pPr>
        <w:pStyle w:val="ListBullet"/>
        <w:spacing w:after="40"/>
      </w:pPr>
      <w:r>
        <w:t>At funerals and memorials, let the hymn point beyond sentimentality to the promise that nothing can separate believers from God’s love.</w:t>
      </w:r>
    </w:p>
    <w:p>
      <w:pPr>
        <w:pStyle w:val="Heading1"/>
      </w:pPr>
      <w:r>
        <w:t>Closing Prayer</w:t>
      </w:r>
    </w:p>
    <w:p>
      <w:r>
        <w:t>Heavenly Father, gather us into Your care. Teach us to trust You when we are anxious, to hope when we are grieving, and to comfort others with the assurance that nothing can separate Your children from Your love in Christ Jesus. Amen.</w:t>
      </w:r>
    </w:p>
    <w:sectPr w:rsidR="00FC693F" w:rsidRPr="0006063C" w:rsidSect="00034616">
      <w:headerReference w:type="default" r:id="rId9"/>
      <w:footerReference w:type="default" r:id="rId10"/>
      <w:pgSz w:w="12240" w:h="15840"/>
      <w:pgMar w:top="792" w:right="864" w:bottom="792"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787878"/>
        <w:sz w:val="16"/>
      </w:rPr>
      <w:t>HymnInfo Teaching Resource</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color w:val="2D5C88"/>
        <w:sz w:val="16"/>
      </w:rPr>
      <w:t>Children of the Heavenly Father | Small Group Handout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eastAsia="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eastAsia="Aptos Display"/>
      <w:b/>
      <w:bCs/>
      <w:color w:val="1D3557"/>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eastAsia="Aptos Display"/>
      <w:b/>
      <w:bCs/>
      <w:color w:val="2D5C88"/>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eastAsia="Aptos Display"/>
      <w:b/>
      <w:bCs/>
      <w:color w:val="162033"/>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eastAsia="Aptos Display"/>
      <w:b/>
      <w:color w:val="1D3557"/>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