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3A2417"/>
          <w:sz w:val="40"/>
        </w:rPr>
        <w:t>Come, Ye Sinners, Poor and Needy</w:t>
      </w:r>
    </w:p>
    <w:p>
      <w:pPr>
        <w:jc w:val="center"/>
      </w:pPr>
      <w:r>
        <w:rPr>
          <w:i/>
          <w:color w:val="8B4A1F"/>
          <w:sz w:val="21"/>
        </w:rPr>
        <w:t>Small Group Handout: Christ welcomes the spiritually needy</w:t>
      </w:r>
    </w:p>
    <w:p>
      <w:pPr>
        <w:pStyle w:val="Heading2"/>
        <w:spacing w:before="120" w:after="40"/>
      </w:pPr>
      <w:r>
        <w:t>Purpose of the Study</w:t>
      </w:r>
    </w:p>
    <w:p>
      <w:r>
        <w:t>This study helps a group hear the hymn as a gospel invitation: Christ calls the weary, guilty, thirsty, and hesitant to come to him for mercy, rest, repentance, and assurance.</w:t>
      </w:r>
    </w:p>
    <w:p>
      <w:pPr>
        <w:pStyle w:val="Heading2"/>
        <w:spacing w:before="120" w:after="40"/>
      </w:pPr>
      <w:r>
        <w:t>Opening Reflection</w:t>
      </w:r>
    </w:p>
    <w:p>
      <w:pPr>
        <w:pStyle w:val="ListBullet"/>
        <w:spacing w:after="20"/>
      </w:pPr>
      <w:r>
        <w:t>When do people most struggle to believe that Christ will receive them?</w:t>
      </w:r>
    </w:p>
    <w:p>
      <w:pPr>
        <w:pStyle w:val="ListBullet"/>
        <w:spacing w:after="20"/>
      </w:pPr>
      <w:r>
        <w:t>What is the difference between coming to Jesus honestly and trying to make ourselves worthy first?</w:t>
      </w:r>
    </w:p>
    <w:p>
      <w:pPr>
        <w:pStyle w:val="ListBullet"/>
        <w:spacing w:after="20"/>
      </w:pPr>
      <w:r>
        <w:t>Where do you see spiritual hunger or weariness in ordinary church life?</w:t>
      </w:r>
    </w:p>
    <w:p>
      <w:pPr>
        <w:pStyle w:val="Heading2"/>
        <w:spacing w:before="120" w:after="40"/>
      </w:pPr>
      <w:r>
        <w:t>Brief Hymn Background</w:t>
      </w:r>
    </w:p>
    <w:p>
      <w:r>
        <w:t>Joseph Hart first published the hymn in 1759 under the title Come, and Welcome, to Jesus Christ. His original opening used the phrase “poor and wretched”; later hymnals popularized the familiar wording “poor and needy.” Many congregations also sing an added refrain connected with the prodigal-son return in Luke 15.</w:t>
      </w:r>
    </w:p>
    <w:p>
      <w:r>
        <w:t>Modern congregations most often sing the hymn to RESTORATION, an anonymous American folk melody printed in William Walker’s Southern Harmony in 1835. Other tunes have also been used, which reflects the hymn’s long and flexible life in evangelical worship.</w:t>
      </w:r>
    </w:p>
    <w:p>
      <w:pPr>
        <w:pStyle w:val="Heading2"/>
        <w:spacing w:before="120" w:after="40"/>
      </w:pPr>
      <w:r>
        <w:t>Primary Scripture and Supporting Passages</w:t>
      </w:r>
    </w:p>
    <w:p>
      <w:pPr>
        <w:pStyle w:val="ListBullet"/>
        <w:spacing w:after="20"/>
      </w:pPr>
      <w:r>
        <w:t>Matthew 11:28-30 - Christ calls the weary and burdened to himself.</w:t>
      </w:r>
    </w:p>
    <w:p>
      <w:pPr>
        <w:pStyle w:val="ListBullet"/>
        <w:spacing w:after="20"/>
      </w:pPr>
      <w:r>
        <w:t>Isaiah 55:1 - God offers water, wine, and milk without money and without price.</w:t>
      </w:r>
    </w:p>
    <w:p>
      <w:pPr>
        <w:pStyle w:val="ListBullet"/>
        <w:spacing w:after="20"/>
      </w:pPr>
      <w:r>
        <w:t>Luke 5:31-32 - Christ came to call sinners to repentance.</w:t>
      </w:r>
    </w:p>
    <w:p>
      <w:pPr>
        <w:pStyle w:val="ListBullet"/>
        <w:spacing w:after="20"/>
      </w:pPr>
      <w:r>
        <w:t>John 6:37 - those who come to Christ will not be cast out.</w:t>
      </w:r>
    </w:p>
    <w:p>
      <w:pPr>
        <w:pStyle w:val="ListBullet"/>
        <w:spacing w:after="20"/>
      </w:pPr>
      <w:r>
        <w:t>Revelation 22:17 - the thirsty are invited to take the water of life freely.</w:t>
      </w:r>
    </w:p>
    <w:p>
      <w:pPr>
        <w:pStyle w:val="Heading2"/>
        <w:spacing w:before="120" w:after="40"/>
      </w:pPr>
      <w:r>
        <w:t>Hymn Movement Study</w:t>
      </w:r>
    </w:p>
    <w:p>
      <w:pPr>
        <w:spacing w:after="40"/>
      </w:pPr>
      <w:r>
        <w:rPr>
          <w:b/>
          <w:color w:val="8B4A1F"/>
        </w:rPr>
        <w:t xml:space="preserve">Spiritual need is named honestly. </w:t>
      </w:r>
      <w:r>
        <w:t>The hymn begins with people who have nothing to offer but need. This matches Jesus’ welcome to the weary and burdened in Matthew 11.</w:t>
      </w:r>
    </w:p>
    <w:p>
      <w:pPr>
        <w:spacing w:after="40"/>
      </w:pPr>
      <w:r>
        <w:rPr>
          <w:b/>
          <w:color w:val="8B4A1F"/>
        </w:rPr>
        <w:t xml:space="preserve">Christ is presented as ready and able. </w:t>
      </w:r>
      <w:r>
        <w:t>The gospel invitation rests on Christ’s sufficiency, not the sinner’s preparation. John 6:37 gives strong comfort to hesitant hearts.</w:t>
      </w:r>
    </w:p>
    <w:p>
      <w:pPr>
        <w:spacing w:after="40"/>
      </w:pPr>
      <w:r>
        <w:rPr>
          <w:b/>
          <w:color w:val="8B4A1F"/>
        </w:rPr>
        <w:t xml:space="preserve">Delay is exposed as spiritually dangerous. </w:t>
      </w:r>
      <w:r>
        <w:t>The hymn presses hearers not to wait until they feel improved. Repentance comes by turning to Christ, not by arranging a better self before coming.</w:t>
      </w:r>
    </w:p>
    <w:p>
      <w:pPr>
        <w:spacing w:after="40"/>
      </w:pPr>
      <w:r>
        <w:rPr>
          <w:b/>
          <w:color w:val="8B4A1F"/>
        </w:rPr>
        <w:t xml:space="preserve">The refrain becomes a response. </w:t>
      </w:r>
      <w:r>
        <w:t>The added refrain gives the congregation a voice of return: the sinner rises and comes to Jesus, like the prodigal returning home.</w:t>
      </w:r>
    </w:p>
    <w:p>
      <w:pPr>
        <w:pStyle w:val="Heading2"/>
        <w:spacing w:before="120" w:after="40"/>
      </w:pPr>
      <w: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EBDCC8"/>
          </w:tcPr>
          <w:p>
            <w:r/>
            <w:r>
              <w:rPr>
                <w:rFonts w:ascii="Aptos" w:hAnsi="Aptos"/>
                <w:b/>
                <w:color w:val="3A2417"/>
                <w:sz w:val="19"/>
              </w:rPr>
              <w:t>Hymn Theme</w:t>
            </w:r>
          </w:p>
        </w:tc>
        <w:tc>
          <w:tcPr>
            <w:tcW w:type="dxa" w:w="3552"/>
            <w:shd w:fill="EBDCC8"/>
          </w:tcPr>
          <w:p>
            <w:r/>
            <w:r>
              <w:rPr>
                <w:rFonts w:ascii="Aptos" w:hAnsi="Aptos"/>
                <w:b/>
                <w:color w:val="3A2417"/>
                <w:sz w:val="19"/>
              </w:rPr>
              <w:t>Scripture Connection</w:t>
            </w:r>
          </w:p>
        </w:tc>
        <w:tc>
          <w:tcPr>
            <w:tcW w:type="dxa" w:w="3552"/>
            <w:shd w:fill="EBDCC8"/>
          </w:tcPr>
          <w:p>
            <w:r/>
            <w:r>
              <w:rPr>
                <w:rFonts w:ascii="Aptos" w:hAnsi="Aptos"/>
                <w:b/>
                <w:color w:val="3A2417"/>
                <w:sz w:val="19"/>
              </w:rPr>
              <w:t>Discussion Prompt</w:t>
            </w:r>
          </w:p>
        </w:tc>
      </w:tr>
      <w:tr>
        <w:tc>
          <w:tcPr>
            <w:tcW w:type="dxa" w:w="3552"/>
            <w:vAlign w:val="top"/>
          </w:tcPr>
          <w:p>
            <w:r/>
            <w:r>
              <w:rPr>
                <w:rFonts w:ascii="Aptos" w:hAnsi="Aptos"/>
                <w:sz w:val="19"/>
              </w:rPr>
              <w:t>Invitation</w:t>
            </w:r>
          </w:p>
        </w:tc>
        <w:tc>
          <w:tcPr>
            <w:tcW w:type="dxa" w:w="3552"/>
            <w:vAlign w:val="top"/>
          </w:tcPr>
          <w:p>
            <w:r/>
            <w:r>
              <w:rPr>
                <w:rFonts w:ascii="Aptos" w:hAnsi="Aptos"/>
                <w:sz w:val="19"/>
              </w:rPr>
              <w:t>Matthew 11:28-30</w:t>
            </w:r>
          </w:p>
        </w:tc>
        <w:tc>
          <w:tcPr>
            <w:tcW w:type="dxa" w:w="3552"/>
            <w:vAlign w:val="top"/>
          </w:tcPr>
          <w:p>
            <w:r/>
            <w:r>
              <w:rPr>
                <w:rFonts w:ascii="Aptos" w:hAnsi="Aptos"/>
                <w:sz w:val="19"/>
              </w:rPr>
              <w:t>What burden does Jesus name and answer?</w:t>
            </w:r>
          </w:p>
        </w:tc>
      </w:tr>
      <w:tr>
        <w:tc>
          <w:tcPr>
            <w:tcW w:type="dxa" w:w="3552"/>
            <w:vAlign w:val="top"/>
          </w:tcPr>
          <w:p>
            <w:r/>
            <w:r>
              <w:rPr>
                <w:rFonts w:ascii="Aptos" w:hAnsi="Aptos"/>
                <w:sz w:val="19"/>
              </w:rPr>
              <w:t>Free grace</w:t>
            </w:r>
          </w:p>
        </w:tc>
        <w:tc>
          <w:tcPr>
            <w:tcW w:type="dxa" w:w="3552"/>
            <w:vAlign w:val="top"/>
          </w:tcPr>
          <w:p>
            <w:r/>
            <w:r>
              <w:rPr>
                <w:rFonts w:ascii="Aptos" w:hAnsi="Aptos"/>
                <w:sz w:val="19"/>
              </w:rPr>
              <w:t>Isaiah 55:1</w:t>
            </w:r>
          </w:p>
        </w:tc>
        <w:tc>
          <w:tcPr>
            <w:tcW w:type="dxa" w:w="3552"/>
            <w:vAlign w:val="top"/>
          </w:tcPr>
          <w:p>
            <w:r/>
            <w:r>
              <w:rPr>
                <w:rFonts w:ascii="Aptos" w:hAnsi="Aptos"/>
                <w:sz w:val="19"/>
              </w:rPr>
              <w:t>Why is “without price” important for weary sinners?</w:t>
            </w:r>
          </w:p>
        </w:tc>
      </w:tr>
      <w:tr>
        <w:tc>
          <w:tcPr>
            <w:tcW w:type="dxa" w:w="3552"/>
            <w:vAlign w:val="top"/>
          </w:tcPr>
          <w:p>
            <w:r/>
            <w:r>
              <w:rPr>
                <w:rFonts w:ascii="Aptos" w:hAnsi="Aptos"/>
                <w:sz w:val="19"/>
              </w:rPr>
              <w:t>Repentance</w:t>
            </w:r>
          </w:p>
        </w:tc>
        <w:tc>
          <w:tcPr>
            <w:tcW w:type="dxa" w:w="3552"/>
            <w:vAlign w:val="top"/>
          </w:tcPr>
          <w:p>
            <w:r/>
            <w:r>
              <w:rPr>
                <w:rFonts w:ascii="Aptos" w:hAnsi="Aptos"/>
                <w:sz w:val="19"/>
              </w:rPr>
              <w:t>Luke 5:31-32</w:t>
            </w:r>
          </w:p>
        </w:tc>
        <w:tc>
          <w:tcPr>
            <w:tcW w:type="dxa" w:w="3552"/>
            <w:vAlign w:val="top"/>
          </w:tcPr>
          <w:p>
            <w:r/>
            <w:r>
              <w:rPr>
                <w:rFonts w:ascii="Aptos" w:hAnsi="Aptos"/>
                <w:sz w:val="19"/>
              </w:rPr>
              <w:t>Why does Christ call the sick rather than the self-satisfied?</w:t>
            </w:r>
          </w:p>
        </w:tc>
      </w:tr>
      <w:tr>
        <w:tc>
          <w:tcPr>
            <w:tcW w:type="dxa" w:w="3552"/>
            <w:vAlign w:val="top"/>
          </w:tcPr>
          <w:p>
            <w:r/>
            <w:r>
              <w:rPr>
                <w:rFonts w:ascii="Aptos" w:hAnsi="Aptos"/>
                <w:sz w:val="19"/>
              </w:rPr>
              <w:t>Assurance</w:t>
            </w:r>
          </w:p>
        </w:tc>
        <w:tc>
          <w:tcPr>
            <w:tcW w:type="dxa" w:w="3552"/>
            <w:vAlign w:val="top"/>
          </w:tcPr>
          <w:p>
            <w:r/>
            <w:r>
              <w:rPr>
                <w:rFonts w:ascii="Aptos" w:hAnsi="Aptos"/>
                <w:sz w:val="19"/>
              </w:rPr>
              <w:t>John 6:37</w:t>
            </w:r>
          </w:p>
        </w:tc>
        <w:tc>
          <w:tcPr>
            <w:tcW w:type="dxa" w:w="3552"/>
            <w:vAlign w:val="top"/>
          </w:tcPr>
          <w:p>
            <w:r/>
            <w:r>
              <w:rPr>
                <w:rFonts w:ascii="Aptos" w:hAnsi="Aptos"/>
                <w:sz w:val="19"/>
              </w:rPr>
              <w:t>How does this promise answer fear of rejection?</w:t>
            </w:r>
          </w:p>
        </w:tc>
      </w:tr>
    </w:tbl>
    <w:p>
      <w:pPr>
        <w:pStyle w:val="Heading2"/>
        <w:spacing w:before="120" w:after="40"/>
      </w:pPr>
      <w:r>
        <w:t>Discussion Questions</w:t>
      </w:r>
    </w:p>
    <w:p>
      <w:pPr>
        <w:pStyle w:val="ListNumber"/>
        <w:spacing w:after="20"/>
      </w:pPr>
      <w:r>
        <w:t>Why does the hymn address people as needy rather than qualified?</w:t>
      </w:r>
    </w:p>
    <w:p>
      <w:pPr>
        <w:pStyle w:val="ListNumber"/>
        <w:spacing w:after="20"/>
      </w:pPr>
      <w:r>
        <w:t>How does Matthew 11 shape the tone of the invitation?</w:t>
      </w:r>
    </w:p>
    <w:p>
      <w:pPr>
        <w:pStyle w:val="ListNumber"/>
        <w:spacing w:after="20"/>
      </w:pPr>
      <w:r>
        <w:t>What are some ways people try to improve themselves before coming to Christ?</w:t>
      </w:r>
    </w:p>
    <w:p>
      <w:pPr>
        <w:pStyle w:val="ListNumber"/>
        <w:spacing w:after="20"/>
      </w:pPr>
      <w:r>
        <w:t>How does John 6:37 strengthen assurance for tender consciences?</w:t>
      </w:r>
    </w:p>
    <w:p>
      <w:pPr>
        <w:pStyle w:val="ListNumber"/>
        <w:spacing w:after="20"/>
      </w:pPr>
      <w:r>
        <w:t>What does repentance look like when it is rooted in mercy rather than fear alone?</w:t>
      </w:r>
    </w:p>
    <w:p>
      <w:pPr>
        <w:pStyle w:val="ListNumber"/>
        <w:spacing w:after="20"/>
      </w:pPr>
      <w:r>
        <w:t>How can a congregation embody the welcome it sings in this hymn?</w:t>
      </w:r>
    </w:p>
    <w:p>
      <w:pPr>
        <w:pStyle w:val="ListNumber"/>
        <w:spacing w:after="20"/>
      </w:pPr>
      <w:r>
        <w:t>Where does your group need to practice honest dependence on grace this week?</w:t>
      </w:r>
    </w:p>
    <w:p>
      <w:pPr>
        <w:pStyle w:val="Heading2"/>
        <w:spacing w:before="120" w:after="40"/>
      </w:pPr>
      <w:r>
        <w:t>Practice This Week</w:t>
      </w:r>
    </w:p>
    <w:p>
      <w:pPr>
        <w:pStyle w:val="ListBullet"/>
        <w:spacing w:after="20"/>
      </w:pPr>
      <w:r>
        <w:t>Read Matthew 11:28-30 slowly each morning and answer Christ’s invitation in prayer.</w:t>
      </w:r>
    </w:p>
    <w:p>
      <w:pPr>
        <w:pStyle w:val="ListBullet"/>
        <w:spacing w:after="20"/>
      </w:pPr>
      <w:r>
        <w:t>Name one area of spiritual need without excuse or disguise.</w:t>
      </w:r>
    </w:p>
    <w:p>
      <w:pPr>
        <w:pStyle w:val="ListBullet"/>
        <w:spacing w:after="20"/>
      </w:pPr>
      <w:r>
        <w:t>Encourage one hesitant believer with John 6:37.</w:t>
      </w:r>
    </w:p>
    <w:p>
      <w:pPr>
        <w:pStyle w:val="ListBullet"/>
        <w:spacing w:after="20"/>
      </w:pPr>
      <w:r>
        <w:t>Pray for your church to welcome seekers and struggling Christians with gospel clarity and tenderness.</w:t>
      </w:r>
    </w:p>
    <w:p>
      <w:pPr>
        <w:pStyle w:val="Heading2"/>
        <w:spacing w:before="120" w:after="40"/>
      </w:pPr>
      <w:r>
        <w:t>Optional Leader Notes</w:t>
      </w:r>
    </w:p>
    <w:p>
      <w:r>
        <w:t>Keep the discussion centered on Christ’s welcome, not on analyzing the group’s failures. Make room for honest confession, but do not let the conversation end in self-focus. The hymn leads people away from delay and toward the mercy of Jesus.</w:t>
      </w:r>
    </w:p>
    <w:p>
      <w:pPr>
        <w:pStyle w:val="Heading2"/>
        <w:spacing w:before="120" w:after="40"/>
      </w:pPr>
      <w:r>
        <w:t>Closing Prayer</w:t>
      </w:r>
    </w:p>
    <w:p>
      <w:r>
        <w:t>Merciful Savior, we come to you poor in ourselves and rich only in your grace. Receive the weary, heal the wounded, call sinners to repentance, and make your church a place where your welcome is heard and lived. Amen.</w:t>
      </w:r>
    </w:p>
    <w:p>
      <w:pPr>
        <w:spacing w:before="160"/>
        <w:jc w:val="center"/>
      </w:pPr>
      <w:r>
        <w:rPr>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A241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A241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3A241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 Ye Sinners, Poor and Needy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