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54321C"/>
          <w:sz w:val="44"/>
        </w:rPr>
        <w:t>Do, Lord, Remember Me</w:t>
      </w:r>
    </w:p>
    <w:p>
      <w:pPr>
        <w:jc w:val="center"/>
      </w:pPr>
      <w:r>
        <w:rPr>
          <w:rFonts w:ascii="Aptos" w:hAnsi="Aptos"/>
          <w:i/>
          <w:color w:val="5A5A5A"/>
          <w:sz w:val="20"/>
        </w:rPr>
        <w:t>Small Group Handout</w:t>
      </w:r>
    </w:p>
    <w:p>
      <w:pPr>
        <w:jc w:val="center"/>
      </w:pPr>
      <w:r>
        <w:rPr>
          <w:rFonts w:ascii="Aptos" w:hAnsi="Aptos"/>
          <w:color w:val="7C4D2A"/>
          <w:sz w:val="18"/>
        </w:rPr>
        <w:t>Grace • Prayer • Assurance • Hope</w:t>
      </w:r>
    </w:p>
    <w:p>
      <w:pPr>
        <w:spacing w:after="100"/>
      </w:pPr>
      <w:r>
        <w:rPr>
          <w:rFonts w:ascii="Aptos" w:hAnsi="Aptos"/>
          <w:b/>
          <w:sz w:val="21"/>
        </w:rPr>
        <w:t>Purpose:</w:t>
      </w:r>
      <w:r>
        <w:rPr>
          <w:rFonts w:ascii="Aptos" w:hAnsi="Aptos"/>
          <w:sz w:val="21"/>
        </w:rPr>
        <w:t xml:space="preserve"> To help a small group pray the hymn honestly, understand the biblical meaning of God remembering his people, and respond with humble trust in Christ.</w:t>
      </w:r>
    </w:p>
    <w:p>
      <w:pPr>
        <w:pStyle w:val="Heading1"/>
      </w:pPr>
      <w:r>
        <w:rPr>
          <w:rFonts w:ascii="Georgia" w:hAnsi="Georgia"/>
          <w:color w:val="54321C"/>
        </w:rPr>
        <w:t>Opening Reflection</w:t>
      </w:r>
    </w:p>
    <w:p>
      <w:pPr>
        <w:pStyle w:val="ListBullet"/>
        <w:spacing w:after="40"/>
      </w:pPr>
      <w:r>
        <w:rPr>
          <w:rFonts w:ascii="Aptos" w:hAnsi="Aptos"/>
          <w:sz w:val="21"/>
        </w:rPr>
        <w:t>When have you felt comforted simply by knowing that someone remembered you?</w:t>
      </w:r>
    </w:p>
    <w:p>
      <w:pPr>
        <w:pStyle w:val="ListBullet"/>
        <w:spacing w:after="40"/>
      </w:pPr>
      <w:r>
        <w:rPr>
          <w:rFonts w:ascii="Aptos" w:hAnsi="Aptos"/>
          <w:sz w:val="21"/>
        </w:rPr>
        <w:t>What comes to mind when you pray, “Lord, remember me”?</w:t>
      </w:r>
    </w:p>
    <w:p>
      <w:pPr>
        <w:pStyle w:val="ListBullet"/>
        <w:spacing w:after="40"/>
      </w:pPr>
      <w:r>
        <w:rPr>
          <w:rFonts w:ascii="Aptos" w:hAnsi="Aptos"/>
          <w:sz w:val="21"/>
        </w:rPr>
        <w:t>How can a simple repeated prayer become a deep act of faith?</w:t>
      </w:r>
    </w:p>
    <w:p>
      <w:pPr>
        <w:pStyle w:val="Heading1"/>
      </w:pPr>
      <w:r>
        <w:rPr>
          <w:rFonts w:ascii="Georgia" w:hAnsi="Georgia"/>
          <w:color w:val="54321C"/>
        </w:rPr>
        <w:t>Brief Hymn Background</w:t>
      </w:r>
    </w:p>
    <w:p>
      <w:pPr>
        <w:spacing w:after="100"/>
      </w:pPr>
      <w:r>
        <w:rPr>
          <w:rFonts w:ascii="Aptos" w:hAnsi="Aptos"/>
          <w:sz w:val="21"/>
        </w:rPr>
        <w:t>Do, Lord, Remember Me comes from the African American spiritual tradition, a body of Christian songs shaped by Scripture, suffering, hope, testimony, and communal worship. Like many spirituals, it was preserved through oral singing, so no single original author or exact writing date can be identified with confidence.</w:t>
      </w:r>
    </w:p>
    <w:p>
      <w:pPr>
        <w:spacing w:after="100"/>
      </w:pPr>
      <w:r>
        <w:rPr>
          <w:rFonts w:ascii="Aptos" w:hAnsi="Aptos"/>
          <w:sz w:val="21"/>
        </w:rPr>
        <w:t>The melody is often associated with the tune name DITMUS in modern hymnals. William Farley Smith later prepared an arrangement/adaptation for congregational use, but the song itself belongs to the traditional spiritual heritage. Its repeated plea makes it easy for children, youth, and adults to sing together.</w:t>
      </w:r>
    </w:p>
    <w:p>
      <w:pPr>
        <w:pStyle w:val="Heading1"/>
      </w:pPr>
      <w:r>
        <w:rPr>
          <w:rFonts w:ascii="Georgia" w:hAnsi="Georgia"/>
          <w:color w:val="54321C"/>
        </w:rPr>
        <w:t>Scripture Foundation</w:t>
      </w:r>
    </w:p>
    <w:p>
      <w:pPr>
        <w:spacing w:after="100"/>
      </w:pPr>
      <w:r>
        <w:rPr>
          <w:rFonts w:ascii="Aptos" w:hAnsi="Aptos"/>
          <w:sz w:val="21"/>
        </w:rPr>
        <w:t>Primary text: Luke 23:42-43 - the repentant criminal asks Jesus to remember him, and Jesus answers with the promise of Paradise.</w:t>
      </w:r>
    </w:p>
    <w:p>
      <w:pPr>
        <w:spacing w:after="100"/>
      </w:pPr>
      <w:r>
        <w:rPr>
          <w:rFonts w:ascii="Aptos" w:hAnsi="Aptos"/>
          <w:sz w:val="21"/>
        </w:rPr>
        <w:t>Supporting passages: Psalm 25:6-7; Psalm 106:4-5; Isaiah 49:15-16; Hebrews 6:10; Exodus 32:13.</w:t>
      </w:r>
    </w:p>
    <w:p>
      <w:pPr>
        <w:pStyle w:val="Heading1"/>
      </w:pPr>
      <w:r>
        <w:rPr>
          <w:rFonts w:ascii="Georgia" w:hAnsi="Georgia"/>
          <w:color w:val="54321C"/>
        </w:rPr>
        <w:t>Stanza and Theme Study</w:t>
      </w:r>
    </w:p>
    <w:p>
      <w:pPr>
        <w:spacing w:after="100"/>
      </w:pPr>
      <w:r>
        <w:rPr>
          <w:rFonts w:ascii="Aptos" w:hAnsi="Aptos"/>
          <w:b/>
          <w:sz w:val="21"/>
        </w:rPr>
        <w:t>The central prayer:</w:t>
      </w:r>
      <w:r>
        <w:rPr>
          <w:rFonts w:ascii="Aptos" w:hAnsi="Aptos"/>
          <w:sz w:val="21"/>
        </w:rPr>
        <w:t xml:space="preserve"> The repeated plea asks the Lord for merciful attention. In Scripture, divine remembrance is not mere recollection; it is God acting in covenant kindness, mercy, and saving care.</w:t>
      </w:r>
    </w:p>
    <w:p>
      <w:pPr>
        <w:spacing w:after="100"/>
      </w:pPr>
      <w:r>
        <w:rPr>
          <w:rFonts w:ascii="Aptos" w:hAnsi="Aptos"/>
          <w:b/>
          <w:sz w:val="21"/>
        </w:rPr>
        <w:t>The heart posture:</w:t>
      </w:r>
      <w:r>
        <w:rPr>
          <w:rFonts w:ascii="Aptos" w:hAnsi="Aptos"/>
          <w:sz w:val="21"/>
        </w:rPr>
        <w:t xml:space="preserve"> The singer does not bargain with God or claim personal merit. The prayer rests on grace: “Remember me” becomes a humble confession of dependence.</w:t>
      </w:r>
    </w:p>
    <w:p>
      <w:pPr>
        <w:spacing w:after="100"/>
      </w:pPr>
      <w:r>
        <w:rPr>
          <w:rFonts w:ascii="Aptos" w:hAnsi="Aptos"/>
          <w:b/>
          <w:sz w:val="21"/>
        </w:rPr>
        <w:t>The communal voice:</w:t>
      </w:r>
      <w:r>
        <w:rPr>
          <w:rFonts w:ascii="Aptos" w:hAnsi="Aptos"/>
          <w:sz w:val="21"/>
        </w:rPr>
        <w:t xml:space="preserve"> Spirituals often make room for leader and congregation, testimony and response. Repetition allows the whole community to share one prayer together.</w:t>
      </w:r>
    </w:p>
    <w:p>
      <w:pPr>
        <w:spacing w:after="100"/>
      </w:pPr>
      <w:r>
        <w:rPr>
          <w:rFonts w:ascii="Aptos" w:hAnsi="Aptos"/>
          <w:b/>
          <w:sz w:val="21"/>
        </w:rPr>
        <w:t>The hope beneath the joy:</w:t>
      </w:r>
      <w:r>
        <w:rPr>
          <w:rFonts w:ascii="Aptos" w:hAnsi="Aptos"/>
          <w:sz w:val="21"/>
        </w:rPr>
        <w:t xml:space="preserve"> The song can be sung with energy because Christian hope is not shallow optimism. It trusts that the Lord knows his people and will not forget them.</w:t>
      </w:r>
    </w:p>
    <w:p>
      <w:pPr>
        <w:pStyle w:val="Heading1"/>
      </w:pPr>
      <w:r>
        <w:rPr>
          <w:rFonts w:ascii="Georgia" w:hAnsi="Georgia"/>
          <w:color w:val="54321C"/>
        </w:rPr>
        <w:t>Study Table</w:t>
      </w:r>
    </w:p>
    <w:tbl>
      <w:tblPr>
        <w:tblStyle w:val="TableGrid"/>
        <w:tblW w:type="auto" w:w="0"/>
        <w:jc w:val="center"/>
        <w:tblLook w:firstColumn="1" w:firstRow="1" w:lastColumn="0" w:lastRow="0" w:noHBand="0" w:noVBand="1" w:val="04A0"/>
      </w:tblPr>
      <w:tblGrid>
        <w:gridCol w:w="3485"/>
        <w:gridCol w:w="3485"/>
        <w:gridCol w:w="3485"/>
      </w:tblGrid>
      <w:tr>
        <w:tc>
          <w:tcPr>
            <w:tcW w:type="dxa" w:w="3485"/>
            <w:shd w:fill="6B3F24"/>
            <w:tcMar>
              <w:top w:w="80" w:type="dxa"/>
              <w:start w:w="80" w:type="dxa"/>
              <w:bottom w:w="80" w:type="dxa"/>
              <w:end w:w="80" w:type="dxa"/>
            </w:tcMar>
          </w:tcPr>
          <w:p>
            <w:r>
              <w:rPr>
                <w:b/>
                <w:color w:val="FFFFFF"/>
              </w:rPr>
              <w:t>Hymn Theme</w:t>
            </w:r>
          </w:p>
        </w:tc>
        <w:tc>
          <w:tcPr>
            <w:tcW w:type="dxa" w:w="3485"/>
            <w:shd w:fill="6B3F24"/>
            <w:tcMar>
              <w:top w:w="80" w:type="dxa"/>
              <w:start w:w="80" w:type="dxa"/>
              <w:bottom w:w="80" w:type="dxa"/>
              <w:end w:w="80" w:type="dxa"/>
            </w:tcMar>
          </w:tcPr>
          <w:p>
            <w:r>
              <w:rPr>
                <w:b/>
                <w:color w:val="FFFFFF"/>
              </w:rPr>
              <w:t>Scripture Connection</w:t>
            </w:r>
          </w:p>
        </w:tc>
        <w:tc>
          <w:tcPr>
            <w:tcW w:type="dxa" w:w="3485"/>
            <w:shd w:fill="6B3F24"/>
            <w:tcMar>
              <w:top w:w="80" w:type="dxa"/>
              <w:start w:w="80" w:type="dxa"/>
              <w:bottom w:w="80" w:type="dxa"/>
              <w:end w:w="80" w:type="dxa"/>
            </w:tcMar>
          </w:tcPr>
          <w:p>
            <w:r>
              <w:rPr>
                <w:b/>
                <w:color w:val="FFFFFF"/>
              </w:rPr>
              <w:t>Discussion Prompt</w:t>
            </w:r>
          </w:p>
        </w:tc>
      </w:tr>
      <w:tr>
        <w:tc>
          <w:tcPr>
            <w:tcW w:type="dxa" w:w="3485"/>
            <w:tcMar>
              <w:top w:w="80" w:type="dxa"/>
              <w:start w:w="80" w:type="dxa"/>
              <w:bottom w:w="80" w:type="dxa"/>
              <w:end w:w="80" w:type="dxa"/>
            </w:tcMar>
            <w:vAlign w:val="top"/>
          </w:tcPr>
          <w:p>
            <w:r>
              <w:t>Grace</w:t>
            </w:r>
          </w:p>
        </w:tc>
        <w:tc>
          <w:tcPr>
            <w:tcW w:type="dxa" w:w="3485"/>
            <w:tcMar>
              <w:top w:w="80" w:type="dxa"/>
              <w:start w:w="80" w:type="dxa"/>
              <w:bottom w:w="80" w:type="dxa"/>
              <w:end w:w="80" w:type="dxa"/>
            </w:tcMar>
            <w:vAlign w:val="top"/>
          </w:tcPr>
          <w:p>
            <w:r>
              <w:t>Luke 23:42-43</w:t>
            </w:r>
          </w:p>
        </w:tc>
        <w:tc>
          <w:tcPr>
            <w:tcW w:type="dxa" w:w="3485"/>
            <w:tcMar>
              <w:top w:w="80" w:type="dxa"/>
              <w:start w:w="80" w:type="dxa"/>
              <w:bottom w:w="80" w:type="dxa"/>
              <w:end w:w="80" w:type="dxa"/>
            </w:tcMar>
            <w:vAlign w:val="top"/>
          </w:tcPr>
          <w:p>
            <w:r>
              <w:t>Why is the thief’s prayer a helpful picture of saving grace?</w:t>
            </w:r>
          </w:p>
        </w:tc>
      </w:tr>
      <w:tr>
        <w:tc>
          <w:tcPr>
            <w:tcW w:type="dxa" w:w="3485"/>
            <w:tcMar>
              <w:top w:w="80" w:type="dxa"/>
              <w:start w:w="80" w:type="dxa"/>
              <w:bottom w:w="80" w:type="dxa"/>
              <w:end w:w="80" w:type="dxa"/>
            </w:tcMar>
            <w:vAlign w:val="top"/>
          </w:tcPr>
          <w:p>
            <w:r>
              <w:t>Divine remembrance</w:t>
            </w:r>
          </w:p>
        </w:tc>
        <w:tc>
          <w:tcPr>
            <w:tcW w:type="dxa" w:w="3485"/>
            <w:tcMar>
              <w:top w:w="80" w:type="dxa"/>
              <w:start w:w="80" w:type="dxa"/>
              <w:bottom w:w="80" w:type="dxa"/>
              <w:end w:w="80" w:type="dxa"/>
            </w:tcMar>
            <w:vAlign w:val="top"/>
          </w:tcPr>
          <w:p>
            <w:r>
              <w:t>Psalm 106:4-5</w:t>
            </w:r>
          </w:p>
        </w:tc>
        <w:tc>
          <w:tcPr>
            <w:tcW w:type="dxa" w:w="3485"/>
            <w:tcMar>
              <w:top w:w="80" w:type="dxa"/>
              <w:start w:w="80" w:type="dxa"/>
              <w:bottom w:w="80" w:type="dxa"/>
              <w:end w:w="80" w:type="dxa"/>
            </w:tcMar>
            <w:vAlign w:val="top"/>
          </w:tcPr>
          <w:p>
            <w:r>
              <w:t>What does it mean to be remembered with God’s favor?</w:t>
            </w:r>
          </w:p>
        </w:tc>
      </w:tr>
      <w:tr>
        <w:tc>
          <w:tcPr>
            <w:tcW w:type="dxa" w:w="3485"/>
            <w:tcMar>
              <w:top w:w="80" w:type="dxa"/>
              <w:start w:w="80" w:type="dxa"/>
              <w:bottom w:w="80" w:type="dxa"/>
              <w:end w:w="80" w:type="dxa"/>
            </w:tcMar>
            <w:vAlign w:val="top"/>
          </w:tcPr>
          <w:p>
            <w:r>
              <w:t>Comfort</w:t>
            </w:r>
          </w:p>
        </w:tc>
        <w:tc>
          <w:tcPr>
            <w:tcW w:type="dxa" w:w="3485"/>
            <w:tcMar>
              <w:top w:w="80" w:type="dxa"/>
              <w:start w:w="80" w:type="dxa"/>
              <w:bottom w:w="80" w:type="dxa"/>
              <w:end w:w="80" w:type="dxa"/>
            </w:tcMar>
            <w:vAlign w:val="top"/>
          </w:tcPr>
          <w:p>
            <w:r>
              <w:t>Isaiah 49:15-16</w:t>
            </w:r>
          </w:p>
        </w:tc>
        <w:tc>
          <w:tcPr>
            <w:tcW w:type="dxa" w:w="3485"/>
            <w:tcMar>
              <w:top w:w="80" w:type="dxa"/>
              <w:start w:w="80" w:type="dxa"/>
              <w:bottom w:w="80" w:type="dxa"/>
              <w:end w:w="80" w:type="dxa"/>
            </w:tcMar>
            <w:vAlign w:val="top"/>
          </w:tcPr>
          <w:p>
            <w:r>
              <w:t>How does God’s promise not to forget comfort the weary?</w:t>
            </w:r>
          </w:p>
        </w:tc>
      </w:tr>
      <w:tr>
        <w:tc>
          <w:tcPr>
            <w:tcW w:type="dxa" w:w="3485"/>
            <w:tcMar>
              <w:top w:w="80" w:type="dxa"/>
              <w:start w:w="80" w:type="dxa"/>
              <w:bottom w:w="80" w:type="dxa"/>
              <w:end w:w="80" w:type="dxa"/>
            </w:tcMar>
            <w:vAlign w:val="top"/>
          </w:tcPr>
          <w:p>
            <w:r>
              <w:t>Faithful service</w:t>
            </w:r>
          </w:p>
        </w:tc>
        <w:tc>
          <w:tcPr>
            <w:tcW w:type="dxa" w:w="3485"/>
            <w:tcMar>
              <w:top w:w="80" w:type="dxa"/>
              <w:start w:w="80" w:type="dxa"/>
              <w:bottom w:w="80" w:type="dxa"/>
              <w:end w:w="80" w:type="dxa"/>
            </w:tcMar>
            <w:vAlign w:val="top"/>
          </w:tcPr>
          <w:p>
            <w:r>
              <w:t>Hebrews 6:10</w:t>
            </w:r>
          </w:p>
        </w:tc>
        <w:tc>
          <w:tcPr>
            <w:tcW w:type="dxa" w:w="3485"/>
            <w:tcMar>
              <w:top w:w="80" w:type="dxa"/>
              <w:start w:w="80" w:type="dxa"/>
              <w:bottom w:w="80" w:type="dxa"/>
              <w:end w:w="80" w:type="dxa"/>
            </w:tcMar>
            <w:vAlign w:val="top"/>
          </w:tcPr>
          <w:p>
            <w:r>
              <w:t>How does God’s remembrance encourage quiet obedience?</w:t>
            </w:r>
          </w:p>
        </w:tc>
      </w:tr>
    </w:tbl>
    <w:p>
      <w:pPr>
        <w:pStyle w:val="Heading1"/>
      </w:pPr>
      <w:r>
        <w:rPr>
          <w:rFonts w:ascii="Georgia" w:hAnsi="Georgia"/>
          <w:color w:val="54321C"/>
        </w:rPr>
        <w:t>Discussion Questions</w:t>
      </w:r>
    </w:p>
    <w:p>
      <w:pPr>
        <w:pStyle w:val="ListBullet"/>
        <w:spacing w:after="40"/>
      </w:pPr>
      <w:r>
        <w:rPr>
          <w:rFonts w:ascii="Aptos" w:hAnsi="Aptos"/>
          <w:sz w:val="21"/>
        </w:rPr>
        <w:t>What does the repeated line teach us about prayer?</w:t>
      </w:r>
    </w:p>
    <w:p>
      <w:pPr>
        <w:pStyle w:val="ListBullet"/>
        <w:spacing w:after="40"/>
      </w:pPr>
      <w:r>
        <w:rPr>
          <w:rFonts w:ascii="Aptos" w:hAnsi="Aptos"/>
          <w:sz w:val="21"/>
        </w:rPr>
        <w:t>How does Luke 23:42-43 deepen the meaning of asking Jesus to remember us?</w:t>
      </w:r>
    </w:p>
    <w:p>
      <w:pPr>
        <w:pStyle w:val="ListBullet"/>
        <w:spacing w:after="40"/>
      </w:pPr>
      <w:r>
        <w:rPr>
          <w:rFonts w:ascii="Aptos" w:hAnsi="Aptos"/>
          <w:sz w:val="21"/>
        </w:rPr>
        <w:t>Why might repetition be especially powerful in communal worship?</w:t>
      </w:r>
    </w:p>
    <w:p>
      <w:pPr>
        <w:pStyle w:val="ListBullet"/>
        <w:spacing w:after="40"/>
      </w:pPr>
      <w:r>
        <w:rPr>
          <w:rFonts w:ascii="Aptos" w:hAnsi="Aptos"/>
          <w:sz w:val="21"/>
        </w:rPr>
        <w:t>How can joyful singing carry honest need and hope at the same time?</w:t>
      </w:r>
    </w:p>
    <w:p>
      <w:pPr>
        <w:pStyle w:val="ListBullet"/>
        <w:spacing w:after="40"/>
      </w:pPr>
      <w:r>
        <w:rPr>
          <w:rFonts w:ascii="Aptos" w:hAnsi="Aptos"/>
          <w:sz w:val="21"/>
        </w:rPr>
        <w:t>What does this hymn teach about assurance for ordinary believers?</w:t>
      </w:r>
    </w:p>
    <w:p>
      <w:pPr>
        <w:pStyle w:val="ListBullet"/>
        <w:spacing w:after="40"/>
      </w:pPr>
      <w:r>
        <w:rPr>
          <w:rFonts w:ascii="Aptos" w:hAnsi="Aptos"/>
          <w:sz w:val="21"/>
        </w:rPr>
        <w:t>How can our church honor the spirituals tradition with reverence and care?</w:t>
      </w:r>
    </w:p>
    <w:p>
      <w:pPr>
        <w:pStyle w:val="ListBullet"/>
        <w:spacing w:after="40"/>
      </w:pPr>
      <w:r>
        <w:rPr>
          <w:rFonts w:ascii="Aptos" w:hAnsi="Aptos"/>
          <w:sz w:val="21"/>
        </w:rPr>
        <w:t>Where do you need to trust that God has not forgotten you this week?</w:t>
      </w:r>
    </w:p>
    <w:p>
      <w:pPr>
        <w:pStyle w:val="Heading1"/>
      </w:pPr>
      <w:r>
        <w:rPr>
          <w:rFonts w:ascii="Georgia" w:hAnsi="Georgia"/>
          <w:color w:val="54321C"/>
        </w:rPr>
        <w:t>Practice This Week</w:t>
      </w:r>
    </w:p>
    <w:p>
      <w:pPr>
        <w:pStyle w:val="ListBullet"/>
        <w:spacing w:after="40"/>
      </w:pPr>
      <w:r>
        <w:rPr>
          <w:rFonts w:ascii="Aptos" w:hAnsi="Aptos"/>
          <w:sz w:val="21"/>
        </w:rPr>
        <w:t>Pray Luke 23:42 slowly each day, ending with gratitude for Christ’s mercy.</w:t>
      </w:r>
    </w:p>
    <w:p>
      <w:pPr>
        <w:pStyle w:val="ListBullet"/>
        <w:spacing w:after="40"/>
      </w:pPr>
      <w:r>
        <w:rPr>
          <w:rFonts w:ascii="Aptos" w:hAnsi="Aptos"/>
          <w:sz w:val="21"/>
        </w:rPr>
        <w:t>Write down one area where you fear being forgotten, then answer that fear with Isaiah 49:15-16.</w:t>
      </w:r>
    </w:p>
    <w:p>
      <w:pPr>
        <w:pStyle w:val="ListBullet"/>
        <w:spacing w:after="40"/>
      </w:pPr>
      <w:r>
        <w:rPr>
          <w:rFonts w:ascii="Aptos" w:hAnsi="Aptos"/>
          <w:sz w:val="21"/>
        </w:rPr>
        <w:t>Encourage one person who may feel overlooked by reminding them of God’s faithful care.</w:t>
      </w:r>
    </w:p>
    <w:p>
      <w:pPr>
        <w:pStyle w:val="ListBullet"/>
        <w:spacing w:after="40"/>
      </w:pPr>
      <w:r>
        <w:rPr>
          <w:rFonts w:ascii="Aptos" w:hAnsi="Aptos"/>
          <w:sz w:val="21"/>
        </w:rPr>
        <w:t>Sing or read the hymn as a family or small group prayer before closing the day.</w:t>
      </w:r>
    </w:p>
    <w:p>
      <w:pPr>
        <w:pStyle w:val="Heading1"/>
      </w:pPr>
      <w:r>
        <w:rPr>
          <w:rFonts w:ascii="Georgia" w:hAnsi="Georgia"/>
          <w:color w:val="54321C"/>
        </w:rPr>
        <w:t>Optional Leader Notes</w:t>
      </w:r>
    </w:p>
    <w:p>
      <w:pPr>
        <w:spacing w:after="100"/>
      </w:pPr>
      <w:r>
        <w:rPr>
          <w:rFonts w:ascii="Aptos" w:hAnsi="Aptos"/>
          <w:sz w:val="21"/>
        </w:rPr>
        <w:t>Keep the discussion Scripture-centered. The phrase “remember me” should be explained as a plea for God’s active mercy, not as though God might literally lose awareness of his children. When discussing spirituals, speak with gratitude and humility, recognizing a worship tradition born in hardship and sustained by faith.</w:t>
      </w:r>
    </w:p>
    <w:p>
      <w:pPr>
        <w:pStyle w:val="Heading1"/>
      </w:pPr>
      <w:r>
        <w:rPr>
          <w:rFonts w:ascii="Georgia" w:hAnsi="Georgia"/>
          <w:color w:val="54321C"/>
        </w:rPr>
        <w:t>Closing Prayer</w:t>
      </w:r>
    </w:p>
    <w:p>
      <w:pPr>
        <w:spacing w:after="100"/>
      </w:pPr>
      <w:r>
        <w:rPr>
          <w:rFonts w:ascii="Aptos" w:hAnsi="Aptos"/>
          <w:sz w:val="21"/>
        </w:rPr>
        <w:t>Lord Jesus, remember us according to your mercy. Teach us to pray with humility, sing with hope, and trust that we are never forgotten by you. Let your grace strengthen us for faithful love and joyful witness. Amen.</w:t>
      </w:r>
    </w:p>
    <w:p>
      <w:pPr>
        <w:jc w:val="center"/>
      </w:pPr>
      <w:r>
        <w:rPr>
          <w:rFonts w:ascii="Aptos" w:hAnsi="Aptos"/>
          <w:color w:val="646464"/>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893" w:bottom="792"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46464"/>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54321C"/>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54321C"/>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b/>
      <w:bCs/>
      <w:color w:val="54321C"/>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color w:val="54321C"/>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Lord, Remember Me</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Hymn study resource</cp:category>
</cp:coreProperties>
</file>