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For the Fruits of This Creation</w:t>
      </w:r>
    </w:p>
    <w:p>
      <w:pPr>
        <w:jc w:val="center"/>
      </w:pPr>
      <w:r>
        <w:rPr>
          <w:rFonts w:ascii="Aptos" w:hAnsi="Aptos"/>
          <w:i/>
          <w:color w:val="5C604B"/>
          <w:sz w:val="21"/>
        </w:rPr>
        <w:t>Sermon Outline: When Thanksgiving Becomes Faithful Love</w:t>
      </w:r>
    </w:p>
    <w:p/>
    <w:p>
      <w:pPr>
        <w:pStyle w:val="Heading1"/>
      </w:pPr>
      <w:r>
        <w:t>Main Text and Supporting Scriptures</w:t>
      </w:r>
    </w:p>
    <w:p>
      <w:pPr>
        <w:pStyle w:val="ListBullet"/>
        <w:spacing w:after="20"/>
      </w:pPr>
      <w:r>
        <w:rPr>
          <w:rFonts w:ascii="Aptos" w:hAnsi="Aptos"/>
          <w:sz w:val="18"/>
        </w:rPr>
        <w:t>Main Text: Psalm 65:9-13</w:t>
      </w:r>
    </w:p>
    <w:p>
      <w:pPr>
        <w:pStyle w:val="ListBullet"/>
        <w:spacing w:after="20"/>
      </w:pPr>
      <w:r>
        <w:rPr>
          <w:rFonts w:ascii="Aptos" w:hAnsi="Aptos"/>
          <w:sz w:val="18"/>
        </w:rPr>
        <w:t>Supporting Scriptures: Genesis 1:29-31; 2 Corinthians 9:6-15; Matthew 25:35-40; James 1:17</w:t>
      </w:r>
    </w:p>
    <w:p>
      <w:pPr>
        <w:pStyle w:val="Heading1"/>
      </w:pPr>
      <w:r>
        <w:t>Big Idea</w:t>
      </w:r>
    </w:p>
    <w:p>
      <w:r>
        <w:t>God’s gifts in creation call the church to grateful worship, generous sharing, and faithful stewardship.</w:t>
      </w:r>
    </w:p>
    <w:p>
      <w:pPr>
        <w:pStyle w:val="Heading1"/>
      </w:pPr>
      <w:r>
        <w:t>Introduction</w:t>
      </w:r>
    </w:p>
    <w:p>
      <w:r>
        <w:t>Many people know how to say “thank you” when the table is full. The harder question is what thanksgiving requires after the meal is over. This hymn helps the church move from appreciation to obedience. It teaches us to see creation’s abundance as gift, then to ask how those gifts should be shared in the name of Christ.</w:t>
      </w:r>
    </w:p>
    <w:p>
      <w:pPr>
        <w:pStyle w:val="Heading2"/>
      </w:pPr>
      <w:r>
        <w:t>I. Receive creation as the gift of God</w:t>
      </w:r>
    </w:p>
    <w:p>
      <w:pPr>
        <w:spacing w:after="40"/>
      </w:pPr>
      <w:r>
        <w:rPr>
          <w:b/>
          <w:color w:val="5B7637"/>
        </w:rPr>
        <w:t xml:space="preserve">Explanation: </w:t>
      </w:r>
      <w:r>
        <w:t>Psalm 65 does not picture the earth as a machine that happens to produce food. It is the Lord who visits, waters, enriches, and crowns the year with bounty. The hymn begins in that posture of grateful reception.</w:t>
      </w:r>
    </w:p>
    <w:p>
      <w:pPr>
        <w:spacing w:after="40"/>
      </w:pPr>
      <w:r>
        <w:rPr>
          <w:b/>
          <w:color w:val="5B7637"/>
        </w:rPr>
        <w:t xml:space="preserve">Hymn Connection: </w:t>
      </w:r>
      <w:r>
        <w:t>Connect the hymn’s harvest language to Psalm 65 and James 1:17. Thanksgiving begins when we confess that what sustains us is gift before it is possession.</w:t>
      </w:r>
    </w:p>
    <w:p>
      <w:pPr>
        <w:spacing w:after="40"/>
      </w:pPr>
      <w:r>
        <w:rPr>
          <w:b/>
          <w:color w:val="5B7637"/>
        </w:rPr>
        <w:t xml:space="preserve">Illustration Idea: </w:t>
      </w:r>
      <w:r>
        <w:t>Show a loaf of bread or a basket of produce. Name the layers of grace behind it: soil, rain, labor, transport, community, and mercy.</w:t>
      </w:r>
    </w:p>
    <w:p>
      <w:pPr>
        <w:spacing w:after="40"/>
      </w:pPr>
      <w:r>
        <w:rPr>
          <w:b/>
          <w:color w:val="5B7637"/>
        </w:rPr>
        <w:t xml:space="preserve">Application: </w:t>
      </w:r>
      <w:r>
        <w:t>Ask listeners to name one ordinary provision they have begun to treat as entitlement rather than gift.</w:t>
      </w:r>
    </w:p>
    <w:p>
      <w:pPr>
        <w:pStyle w:val="Heading2"/>
      </w:pPr>
      <w:r>
        <w:t>II. Let gratitude become generosity</w:t>
      </w:r>
    </w:p>
    <w:p>
      <w:pPr>
        <w:spacing w:after="40"/>
      </w:pPr>
      <w:r>
        <w:rPr>
          <w:b/>
          <w:color w:val="5B7637"/>
        </w:rPr>
        <w:t xml:space="preserve">Explanation: </w:t>
      </w:r>
      <w:r>
        <w:t>Second Corinthians 9 links sowing, reaping, righteousness, and giving. The harvest of God’s generosity is meant to multiply through the lives of God’s people. The hymn refuses to leave thanksgiving as a private feeling.</w:t>
      </w:r>
    </w:p>
    <w:p>
      <w:pPr>
        <w:spacing w:after="40"/>
      </w:pPr>
      <w:r>
        <w:rPr>
          <w:b/>
          <w:color w:val="5B7637"/>
        </w:rPr>
        <w:t xml:space="preserve">Hymn Connection: </w:t>
      </w:r>
      <w:r>
        <w:t>Green’s text joins harvest with shared labor and care for neighbors. Gratitude becomes incomplete when it stops at our own table.</w:t>
      </w:r>
    </w:p>
    <w:p>
      <w:pPr>
        <w:spacing w:after="40"/>
      </w:pPr>
      <w:r>
        <w:rPr>
          <w:b/>
          <w:color w:val="5B7637"/>
        </w:rPr>
        <w:t xml:space="preserve">Illustration Idea: </w:t>
      </w:r>
      <w:r>
        <w:t>Tell of a congregation, food pantry, or family that turned a thanksgiving meal into ongoing care for others.</w:t>
      </w:r>
    </w:p>
    <w:p>
      <w:pPr>
        <w:spacing w:after="40"/>
      </w:pPr>
      <w:r>
        <w:rPr>
          <w:b/>
          <w:color w:val="5B7637"/>
        </w:rPr>
        <w:t xml:space="preserve">Application: </w:t>
      </w:r>
      <w:r>
        <w:t>Call the church to choose one concrete act of giving, serving, or sharing that flows from worship.</w:t>
      </w:r>
    </w:p>
    <w:p>
      <w:pPr>
        <w:pStyle w:val="Heading2"/>
      </w:pPr>
      <w:r>
        <w:t>III. See the hungry neighbor in light of Christ</w:t>
      </w:r>
    </w:p>
    <w:p>
      <w:pPr>
        <w:spacing w:after="40"/>
      </w:pPr>
      <w:r>
        <w:rPr>
          <w:b/>
          <w:color w:val="5B7637"/>
        </w:rPr>
        <w:t xml:space="preserve">Explanation: </w:t>
      </w:r>
      <w:r>
        <w:t>In Matthew 25, Jesus identifies himself with those who are hungry, thirsty, strangers, and vulnerable. Thanksgiving to God must open our eyes to the needs of people God places before us.</w:t>
      </w:r>
    </w:p>
    <w:p>
      <w:pPr>
        <w:spacing w:after="40"/>
      </w:pPr>
      <w:r>
        <w:rPr>
          <w:b/>
          <w:color w:val="5B7637"/>
        </w:rPr>
        <w:t xml:space="preserve">Hymn Connection: </w:t>
      </w:r>
      <w:r>
        <w:t>The hymn’s moral weight lies here: God’s gifts are received rightly when they become mercy for others.</w:t>
      </w:r>
    </w:p>
    <w:p>
      <w:pPr>
        <w:spacing w:after="40"/>
      </w:pPr>
      <w:r>
        <w:rPr>
          <w:b/>
          <w:color w:val="5B7637"/>
        </w:rPr>
        <w:t xml:space="preserve">Illustration Idea: </w:t>
      </w:r>
      <w:r>
        <w:t>Describe two tables: one full and one empty. The gospel does not let the church bless one and ignore the other.</w:t>
      </w:r>
    </w:p>
    <w:p>
      <w:pPr>
        <w:spacing w:after="40"/>
      </w:pPr>
      <w:r>
        <w:rPr>
          <w:b/>
          <w:color w:val="5B7637"/>
        </w:rPr>
        <w:t xml:space="preserve">Application: </w:t>
      </w:r>
      <w:r>
        <w:t>Invite listeners to examine local hunger, loneliness, debt, or despair that the congregation can address.</w:t>
      </w:r>
    </w:p>
    <w:p>
      <w:pPr>
        <w:pStyle w:val="Heading2"/>
      </w:pPr>
      <w:r>
        <w:t>IV. Seek the Spirit’s deeper harvest</w:t>
      </w:r>
    </w:p>
    <w:p>
      <w:pPr>
        <w:spacing w:after="40"/>
      </w:pPr>
      <w:r>
        <w:rPr>
          <w:b/>
          <w:color w:val="5B7637"/>
        </w:rPr>
        <w:t xml:space="preserve">Explanation: </w:t>
      </w:r>
      <w:r>
        <w:t>The hymn finally widens the meaning of harvest. God grows more than crops; he grows goodness, mercy, love, and Christlike character in his people.</w:t>
      </w:r>
    </w:p>
    <w:p>
      <w:pPr>
        <w:spacing w:after="40"/>
      </w:pPr>
      <w:r>
        <w:rPr>
          <w:b/>
          <w:color w:val="5B7637"/>
        </w:rPr>
        <w:t xml:space="preserve">Hymn Connection: </w:t>
      </w:r>
      <w:r>
        <w:t>The last movement of the hymn points beyond material abundance to the fruit of grace in a community shaped by the Spirit.</w:t>
      </w:r>
    </w:p>
    <w:p>
      <w:pPr>
        <w:spacing w:after="40"/>
      </w:pPr>
      <w:r>
        <w:rPr>
          <w:b/>
          <w:color w:val="5B7637"/>
        </w:rPr>
        <w:t xml:space="preserve">Illustration Idea: </w:t>
      </w:r>
      <w:r>
        <w:t>A field does not become fruitful in a day. Spiritual fruit also grows through patient faithfulness, repeated obedience, and hidden grace.</w:t>
      </w:r>
    </w:p>
    <w:p>
      <w:pPr>
        <w:spacing w:after="40"/>
      </w:pPr>
      <w:r>
        <w:rPr>
          <w:b/>
          <w:color w:val="5B7637"/>
        </w:rPr>
        <w:t xml:space="preserve">Application: </w:t>
      </w:r>
      <w:r>
        <w:t>Encourage listeners not only to give once, but to become generous people.</w:t>
      </w:r>
    </w:p>
    <w:p>
      <w:pPr>
        <w:pStyle w:val="Heading1"/>
      </w:pPr>
      <w:r>
        <w:t>Christ-Centered Connection</w:t>
      </w:r>
    </w:p>
    <w:p>
      <w:r>
        <w:t>The gifts of creation point beyond themselves to the generosity of God fully revealed in Christ. In Jesus, God gives not only bread for the body but life for the world. Christian stewardship is therefore not mere moral duty; it is a response to the grace of the One who gave himself for us.</w:t>
      </w:r>
    </w:p>
    <w:p>
      <w:pPr>
        <w:pStyle w:val="Heading1"/>
      </w:pPr>
      <w:r>
        <w:t>Pastoral Applications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5B7637"/>
          </w:tcPr>
          <w:p>
            <w:r/>
            <w:r>
              <w:rPr>
                <w:rFonts w:ascii="Aptos" w:hAnsi="Aptos"/>
                <w:b/>
                <w:color w:val="FFFFFF"/>
                <w:sz w:val="18"/>
              </w:rPr>
              <w:t>For listeners who are...</w:t>
            </w:r>
          </w:p>
        </w:tc>
        <w:tc>
          <w:tcPr>
            <w:tcW w:type="dxa" w:w="5184"/>
            <w:shd w:fill="5B7637"/>
          </w:tcPr>
          <w:p>
            <w:r/>
            <w:r>
              <w:rPr>
                <w:rFonts w:ascii="Aptos" w:hAnsi="Aptos"/>
                <w:b/>
                <w:color w:val="FFFFFF"/>
                <w:sz w:val="18"/>
              </w:rPr>
              <w:t>Pastoral word</w:t>
            </w:r>
          </w:p>
        </w:tc>
      </w:tr>
      <w:tr>
        <w:tc>
          <w:tcPr>
            <w:tcW w:type="dxa" w:w="5184"/>
          </w:tcPr>
          <w:p>
            <w:r/>
            <w:r>
              <w:rPr>
                <w:rFonts w:ascii="Aptos" w:hAnsi="Aptos"/>
                <w:b/>
                <w:color w:val="263624"/>
                <w:sz w:val="18"/>
              </w:rPr>
              <w:t>Joyful</w:t>
            </w:r>
          </w:p>
        </w:tc>
        <w:tc>
          <w:tcPr>
            <w:tcW w:type="dxa" w:w="5184"/>
          </w:tcPr>
          <w:p>
            <w:r/>
            <w:r>
              <w:rPr>
                <w:rFonts w:ascii="Aptos" w:hAnsi="Aptos"/>
                <w:b w:val="0"/>
                <w:color w:val="333333"/>
                <w:sz w:val="18"/>
              </w:rPr>
              <w:t>Let joy become generous praise and shared blessing.</w:t>
            </w:r>
          </w:p>
        </w:tc>
      </w:tr>
      <w:tr>
        <w:tc>
          <w:tcPr>
            <w:tcW w:type="dxa" w:w="5184"/>
          </w:tcPr>
          <w:p>
            <w:r/>
            <w:r>
              <w:rPr>
                <w:rFonts w:ascii="Aptos" w:hAnsi="Aptos"/>
                <w:b/>
                <w:color w:val="263624"/>
                <w:sz w:val="18"/>
              </w:rPr>
              <w:t>Weary</w:t>
            </w:r>
          </w:p>
        </w:tc>
        <w:tc>
          <w:tcPr>
            <w:tcW w:type="dxa" w:w="5184"/>
          </w:tcPr>
          <w:p>
            <w:r/>
            <w:r>
              <w:rPr>
                <w:rFonts w:ascii="Aptos" w:hAnsi="Aptos"/>
                <w:b w:val="0"/>
                <w:color w:val="333333"/>
                <w:sz w:val="18"/>
              </w:rPr>
              <w:t>God’s provision is not only for the strong; receive daily bread for today.</w:t>
            </w:r>
          </w:p>
        </w:tc>
      </w:tr>
      <w:tr>
        <w:tc>
          <w:tcPr>
            <w:tcW w:type="dxa" w:w="5184"/>
          </w:tcPr>
          <w:p>
            <w:r/>
            <w:r>
              <w:rPr>
                <w:rFonts w:ascii="Aptos" w:hAnsi="Aptos"/>
                <w:b/>
                <w:color w:val="263624"/>
                <w:sz w:val="18"/>
              </w:rPr>
              <w:t>Anxious</w:t>
            </w:r>
          </w:p>
        </w:tc>
        <w:tc>
          <w:tcPr>
            <w:tcW w:type="dxa" w:w="5184"/>
          </w:tcPr>
          <w:p>
            <w:r/>
            <w:r>
              <w:rPr>
                <w:rFonts w:ascii="Aptos" w:hAnsi="Aptos"/>
                <w:b w:val="0"/>
                <w:color w:val="333333"/>
                <w:sz w:val="18"/>
              </w:rPr>
              <w:t>The Provider knows your need; trust does not cancel wise action, but it frees you from fear.</w:t>
            </w:r>
          </w:p>
        </w:tc>
      </w:tr>
      <w:tr>
        <w:tc>
          <w:tcPr>
            <w:tcW w:type="dxa" w:w="5184"/>
          </w:tcPr>
          <w:p>
            <w:r/>
            <w:r>
              <w:rPr>
                <w:rFonts w:ascii="Aptos" w:hAnsi="Aptos"/>
                <w:b/>
                <w:color w:val="263624"/>
                <w:sz w:val="18"/>
              </w:rPr>
              <w:t>Comfortable</w:t>
            </w:r>
          </w:p>
        </w:tc>
        <w:tc>
          <w:tcPr>
            <w:tcW w:type="dxa" w:w="5184"/>
          </w:tcPr>
          <w:p>
            <w:r/>
            <w:r>
              <w:rPr>
                <w:rFonts w:ascii="Aptos" w:hAnsi="Aptos"/>
                <w:b w:val="0"/>
                <w:color w:val="333333"/>
                <w:sz w:val="18"/>
              </w:rPr>
              <w:t>Ask whether comfort has dulled compassion.</w:t>
            </w:r>
          </w:p>
        </w:tc>
      </w:tr>
      <w:tr>
        <w:tc>
          <w:tcPr>
            <w:tcW w:type="dxa" w:w="5184"/>
          </w:tcPr>
          <w:p>
            <w:r/>
            <w:r>
              <w:rPr>
                <w:rFonts w:ascii="Aptos" w:hAnsi="Aptos"/>
                <w:b/>
                <w:color w:val="263624"/>
                <w:sz w:val="18"/>
              </w:rPr>
              <w:t>Serving</w:t>
            </w:r>
          </w:p>
        </w:tc>
        <w:tc>
          <w:tcPr>
            <w:tcW w:type="dxa" w:w="5184"/>
          </w:tcPr>
          <w:p>
            <w:r/>
            <w:r>
              <w:rPr>
                <w:rFonts w:ascii="Aptos" w:hAnsi="Aptos"/>
                <w:b w:val="0"/>
                <w:color w:val="333333"/>
                <w:sz w:val="18"/>
              </w:rPr>
              <w:t>Do not despise hidden faithfulness. God grows fruit through patient labor.</w:t>
            </w:r>
          </w:p>
        </w:tc>
      </w:tr>
      <w:tr>
        <w:tc>
          <w:tcPr>
            <w:tcW w:type="dxa" w:w="5184"/>
          </w:tcPr>
          <w:p>
            <w:r/>
            <w:r>
              <w:rPr>
                <w:rFonts w:ascii="Aptos" w:hAnsi="Aptos"/>
                <w:b/>
                <w:color w:val="263624"/>
                <w:sz w:val="18"/>
              </w:rPr>
              <w:t>Repentant</w:t>
            </w:r>
          </w:p>
        </w:tc>
        <w:tc>
          <w:tcPr>
            <w:tcW w:type="dxa" w:w="5184"/>
          </w:tcPr>
          <w:p>
            <w:r/>
            <w:r>
              <w:rPr>
                <w:rFonts w:ascii="Aptos" w:hAnsi="Aptos"/>
                <w:b w:val="0"/>
                <w:color w:val="333333"/>
                <w:sz w:val="18"/>
              </w:rPr>
              <w:t>Turn from waste, indifference, or greed toward mercy shaped by Christ.</w:t>
            </w:r>
          </w:p>
        </w:tc>
      </w:tr>
    </w:tbl>
    <w:p>
      <w:pPr>
        <w:pStyle w:val="Heading1"/>
      </w:pPr>
      <w:r>
        <w:t>Conclusion and Call to Response</w:t>
      </w:r>
    </w:p>
    <w:p>
      <w:r>
        <w:t>The hymn begins with fruit and ends with love. That is the path of Christian thanksgiving: receive the gift, bless the Giver, share with the neighbor, and bear the fruit of the Spirit. Invite the congregation to respond with grateful worship and one specific act of generosity this week.</w:t>
      </w:r>
    </w:p>
    <w:p>
      <w:pPr>
        <w:pStyle w:val="Heading1"/>
      </w:pPr>
      <w:r>
        <w:t>Suggested Closing Prayer</w:t>
      </w:r>
    </w:p>
    <w:p>
      <w:r>
        <w:t>Lord of harvest and mercy, you have filled the earth with gifts and our lives with grace. Forgive our forgetfulness and our selfishness. Make us thankful without being complacent, generous without seeking praise, and faithful in the care of your creation and our neighbors. Through Jesus Christ our Lord. Amen.</w:t>
      </w:r>
    </w:p>
    <w:p>
      <w:pPr>
        <w:spacing w:before="120"/>
      </w:pPr>
      <w:r>
        <w:rPr>
          <w:rFonts w:ascii="Aptos" w:hAnsi="Aptos"/>
          <w:color w:val="64645A"/>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5B7637"/>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884C1F"/>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63624"/>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the Fruits of This Creation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