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22D3A"/>
          <w:sz w:val="40"/>
        </w:rPr>
        <w:t>It Is Well with My Soul</w:t>
      </w:r>
    </w:p>
    <w:p>
      <w:pPr>
        <w:jc w:val="center"/>
      </w:pPr>
      <w:r>
        <w:rPr>
          <w:i/>
          <w:color w:val="6B5C4C"/>
          <w:sz w:val="22"/>
        </w:rPr>
        <w:t>A small group study on peace, assurance, suffering, and hope in Christ</w:t>
      </w:r>
    </w:p>
    <w:p>
      <w:pPr>
        <w:pStyle w:val="Heading2"/>
      </w:pPr>
      <w:r>
        <w:t>Opening Reflection</w:t>
      </w:r>
    </w:p>
    <w:p>
      <w:pPr>
        <w:pStyle w:val="ListBullet"/>
        <w:spacing w:after="40"/>
      </w:pPr>
      <w:r>
        <w:t>When have you needed peace that circumstances could not provide?</w:t>
      </w:r>
    </w:p>
    <w:p>
      <w:pPr>
        <w:pStyle w:val="ListBullet"/>
        <w:spacing w:after="40"/>
      </w:pPr>
      <w:r>
        <w:t>Why do songs sometimes help us pray when ordinary words feel difficult?</w:t>
      </w:r>
    </w:p>
    <w:p>
      <w:pPr>
        <w:pStyle w:val="ListBullet"/>
        <w:spacing w:after="40"/>
      </w:pPr>
      <w:r>
        <w:t>What is the difference between denying sorrow and trusting God within sorrow?</w:t>
      </w:r>
    </w:p>
    <w:p>
      <w:pPr>
        <w:pStyle w:val="Heading2"/>
      </w:pPr>
      <w:r>
        <w:t>Brief Hymn Background</w:t>
      </w:r>
    </w:p>
    <w:p>
      <w:pPr>
        <w:spacing w:after="100"/>
      </w:pPr>
      <w:r>
        <w:t>It Is Well with My Soul was written by Horatio Gates Spafford in 1873 and later set to Philip Paul Bliss’s tune VILLE DU HAVRE. It is closely associated with Spafford’s grief after the 1873 Ville du Havre disaster, in which his four daughters died while crossing the Atlantic.</w:t>
      </w:r>
    </w:p>
    <w:p>
      <w:pPr>
        <w:spacing w:after="100"/>
      </w:pPr>
      <w:r>
        <w:t>The hymn should be taught with pastoral care. Its power is not only in the story behind it, but in the way it brings sorrow under the larger truths of God’s peace, Christ’s saving work, and the hope of resurrection.</w:t>
      </w:r>
    </w:p>
    <w:p>
      <w:pPr>
        <w:pStyle w:val="Heading2"/>
      </w:pPr>
      <w:r>
        <w:t>Scripture Foundation</w:t>
      </w:r>
    </w:p>
    <w:p>
      <w:pPr>
        <w:pStyle w:val="ListBullet"/>
        <w:spacing w:after="40"/>
      </w:pPr>
      <w:r>
        <w:t>Philippians 4:6-7 — In nothing be anxious, but in everything, by prayer and petition with thanksgiving, let your requests be made known to God. And the peace of God, which surpasses all understanding, will guard your hearts and your thoughts in Christ Jesus.</w:t>
      </w:r>
    </w:p>
    <w:p>
      <w:pPr>
        <w:pStyle w:val="ListBullet"/>
        <w:spacing w:after="40"/>
      </w:pPr>
      <w:r>
        <w:t>Isaiah 26:3 — You will keep whoever's mind is steadfast in perfect peace, because he trusts in you.</w:t>
      </w:r>
    </w:p>
    <w:p>
      <w:pPr>
        <w:pStyle w:val="ListBullet"/>
        <w:spacing w:after="40"/>
      </w:pPr>
      <w:r>
        <w:t>Romans 8:1 — There is therefore now no condemnation to those who are in Christ Jesus, who don't walk according to the flesh, but according to the Spirit.</w:t>
      </w:r>
    </w:p>
    <w:p>
      <w:pPr>
        <w:pStyle w:val="ListBullet"/>
        <w:spacing w:after="40"/>
      </w:pPr>
      <w:r>
        <w:t>Colossians 2:14 — wiping out the handwriting in ordinances which was against us. He has taken it out of the way, nailing it to the cross.</w:t>
      </w:r>
    </w:p>
    <w:p>
      <w:pPr>
        <w:pStyle w:val="ListBullet"/>
        <w:spacing w:after="40"/>
      </w:pPr>
      <w:r>
        <w:t>1 Thessalonians 4:16 — For the Lord himself will descend from heaven with a shout, with the voice of the archangel and with God's trumpet. The dead in Christ will rise first,</w:t>
      </w:r>
    </w:p>
    <w:p>
      <w:pPr>
        <w:pStyle w:val="ListBullet"/>
        <w:spacing w:after="40"/>
      </w:pPr>
      <w:r>
        <w:t>1 Corinthians 15:57 — But thanks be to God, who gives us the victory through our Lord Jesus Christ.</w:t>
      </w:r>
    </w:p>
    <w:p>
      <w:pPr>
        <w:pStyle w:val="Heading2"/>
      </w:pPr>
      <w:r>
        <w:t>Stanza-by-Stanza Study</w:t>
      </w:r>
    </w:p>
    <w:p>
      <w:pPr>
        <w:pStyle w:val="Heading3"/>
      </w:pPr>
      <w:r>
        <w:t>Peace and sorrow</w:t>
      </w:r>
    </w:p>
    <w:p>
      <w:pPr>
        <w:spacing w:after="100"/>
      </w:pPr>
      <w:r>
        <w:t>The hymn begins by contrasting peaceful circumstances with overwhelming grief. Christian peace is not presented as escape from pain, but as trust held by God in the midst of pain.</w:t>
      </w:r>
    </w:p>
    <w:p>
      <w:pPr>
        <w:pStyle w:val="Heading3"/>
      </w:pPr>
      <w:r>
        <w:t>Trial and spiritual conflict</w:t>
      </w:r>
    </w:p>
    <w:p>
      <w:pPr>
        <w:spacing w:after="100"/>
      </w:pPr>
      <w:r>
        <w:t>The middle movement recognizes affliction and temptation while pointing the believer to the compassion and help of Christ.</w:t>
      </w:r>
    </w:p>
    <w:p>
      <w:pPr>
        <w:pStyle w:val="Heading3"/>
      </w:pPr>
      <w:r>
        <w:t>The cross and forgiveness</w:t>
      </w:r>
    </w:p>
    <w:p>
      <w:pPr>
        <w:spacing w:after="100"/>
      </w:pPr>
      <w:r>
        <w:t>The hymn’s deepest assurance rests on Christ’s atoning work. The believer’s peace is grounded in forgiveness and freedom from condemnation.</w:t>
      </w:r>
    </w:p>
    <w:p>
      <w:pPr>
        <w:pStyle w:val="Heading3"/>
      </w:pPr>
      <w:r>
        <w:t>Future hope</w:t>
      </w:r>
    </w:p>
    <w:p>
      <w:pPr>
        <w:spacing w:after="100"/>
      </w:pPr>
      <w:r>
        <w:t>The final movement looks toward Christ’s return and the victory God gives through the Lord Jesus. Present sorrow is real, but it is not final.</w:t>
      </w:r>
    </w:p>
    <w:p>
      <w:pPr>
        <w:pStyle w:val="Heading2"/>
      </w:pPr>
      <w:r>
        <w:t>Study Table</w:t>
      </w:r>
    </w:p>
    <w:tbl>
      <w:tblPr>
        <w:tblStyle w:val="TableGrid"/>
        <w:tblW w:type="auto" w:w="0"/>
        <w:jc w:val="center"/>
        <w:tblLook w:firstColumn="1" w:firstRow="1" w:lastColumn="0" w:lastRow="0" w:noHBand="0" w:noVBand="1" w:val="04A0"/>
      </w:tblPr>
      <w:tblGrid>
        <w:gridCol w:w="3408"/>
        <w:gridCol w:w="3408"/>
        <w:gridCol w:w="3408"/>
      </w:tblGrid>
      <w:tr>
        <w:tc>
          <w:tcPr>
            <w:tcW w:type="dxa" w:w="3408"/>
            <w:shd w:fill="2E3A47"/>
          </w:tcPr>
          <w:p>
            <w:pPr>
              <w:spacing w:after="40"/>
            </w:pPr>
            <w:r/>
            <w:r>
              <w:rPr>
                <w:rFonts w:ascii="Aptos" w:hAnsi="Aptos"/>
                <w:b/>
                <w:color w:val="FFFFFF"/>
              </w:rPr>
              <w:t>Hymn Theme</w:t>
            </w:r>
          </w:p>
        </w:tc>
        <w:tc>
          <w:tcPr>
            <w:tcW w:type="dxa" w:w="3408"/>
            <w:shd w:fill="2E3A47"/>
          </w:tcPr>
          <w:p>
            <w:pPr>
              <w:spacing w:after="40"/>
            </w:pPr>
            <w:r/>
            <w:r>
              <w:rPr>
                <w:rFonts w:ascii="Aptos" w:hAnsi="Aptos"/>
                <w:b/>
                <w:color w:val="FFFFFF"/>
              </w:rPr>
              <w:t>Scripture Connection</w:t>
            </w:r>
          </w:p>
        </w:tc>
        <w:tc>
          <w:tcPr>
            <w:tcW w:type="dxa" w:w="3408"/>
            <w:shd w:fill="2E3A47"/>
          </w:tcPr>
          <w:p>
            <w:pPr>
              <w:spacing w:after="40"/>
            </w:pPr>
            <w:r/>
            <w:r>
              <w:rPr>
                <w:rFonts w:ascii="Aptos" w:hAnsi="Aptos"/>
                <w:b/>
                <w:color w:val="FFFFFF"/>
              </w:rPr>
              <w:t>Discussion Prompt</w:t>
            </w:r>
          </w:p>
        </w:tc>
      </w:tr>
      <w:tr>
        <w:tc>
          <w:tcPr>
            <w:tcW w:type="dxa" w:w="3408"/>
            <w:vAlign w:val="top"/>
          </w:tcPr>
          <w:p>
            <w:pPr>
              <w:spacing w:after="40"/>
            </w:pPr>
            <w:r/>
            <w:r>
              <w:rPr>
                <w:rFonts w:ascii="Aptos" w:hAnsi="Aptos"/>
                <w:b w:val="0"/>
                <w:color w:val="000000"/>
              </w:rPr>
              <w:t>Peace in anxiety</w:t>
            </w:r>
          </w:p>
        </w:tc>
        <w:tc>
          <w:tcPr>
            <w:tcW w:type="dxa" w:w="3408"/>
            <w:vAlign w:val="top"/>
          </w:tcPr>
          <w:p>
            <w:pPr>
              <w:spacing w:after="40"/>
            </w:pPr>
            <w:r/>
            <w:r>
              <w:rPr>
                <w:rFonts w:ascii="Aptos" w:hAnsi="Aptos"/>
                <w:b w:val="0"/>
                <w:color w:val="000000"/>
              </w:rPr>
              <w:t>Philippians 4:6-7</w:t>
            </w:r>
          </w:p>
        </w:tc>
        <w:tc>
          <w:tcPr>
            <w:tcW w:type="dxa" w:w="3408"/>
            <w:vAlign w:val="top"/>
          </w:tcPr>
          <w:p>
            <w:pPr>
              <w:spacing w:after="40"/>
            </w:pPr>
            <w:r/>
            <w:r>
              <w:rPr>
                <w:rFonts w:ascii="Aptos" w:hAnsi="Aptos"/>
                <w:b w:val="0"/>
                <w:color w:val="000000"/>
              </w:rPr>
              <w:t>How does prayer reshape our experience of fear?</w:t>
            </w:r>
          </w:p>
        </w:tc>
      </w:tr>
      <w:tr>
        <w:tc>
          <w:tcPr>
            <w:tcW w:type="dxa" w:w="3408"/>
            <w:vAlign w:val="top"/>
          </w:tcPr>
          <w:p>
            <w:pPr>
              <w:spacing w:after="40"/>
            </w:pPr>
            <w:r/>
            <w:r>
              <w:rPr>
                <w:rFonts w:ascii="Aptos" w:hAnsi="Aptos"/>
                <w:b w:val="0"/>
                <w:color w:val="000000"/>
              </w:rPr>
              <w:t>Trust in God</w:t>
            </w:r>
          </w:p>
        </w:tc>
        <w:tc>
          <w:tcPr>
            <w:tcW w:type="dxa" w:w="3408"/>
            <w:vAlign w:val="top"/>
          </w:tcPr>
          <w:p>
            <w:pPr>
              <w:spacing w:after="40"/>
            </w:pPr>
            <w:r/>
            <w:r>
              <w:rPr>
                <w:rFonts w:ascii="Aptos" w:hAnsi="Aptos"/>
                <w:b w:val="0"/>
                <w:color w:val="000000"/>
              </w:rPr>
              <w:t>Isaiah 26:3</w:t>
            </w:r>
          </w:p>
        </w:tc>
        <w:tc>
          <w:tcPr>
            <w:tcW w:type="dxa" w:w="3408"/>
            <w:vAlign w:val="top"/>
          </w:tcPr>
          <w:p>
            <w:pPr>
              <w:spacing w:after="40"/>
            </w:pPr>
            <w:r/>
            <w:r>
              <w:rPr>
                <w:rFonts w:ascii="Aptos" w:hAnsi="Aptos"/>
                <w:b w:val="0"/>
                <w:color w:val="000000"/>
              </w:rPr>
              <w:t>What does steadfast trust look like in grief?</w:t>
            </w:r>
          </w:p>
        </w:tc>
      </w:tr>
      <w:tr>
        <w:tc>
          <w:tcPr>
            <w:tcW w:type="dxa" w:w="3408"/>
            <w:vAlign w:val="top"/>
          </w:tcPr>
          <w:p>
            <w:pPr>
              <w:spacing w:after="40"/>
            </w:pPr>
            <w:r/>
            <w:r>
              <w:rPr>
                <w:rFonts w:ascii="Aptos" w:hAnsi="Aptos"/>
                <w:b w:val="0"/>
                <w:color w:val="000000"/>
              </w:rPr>
              <w:t>No condemnation</w:t>
            </w:r>
          </w:p>
        </w:tc>
        <w:tc>
          <w:tcPr>
            <w:tcW w:type="dxa" w:w="3408"/>
            <w:vAlign w:val="top"/>
          </w:tcPr>
          <w:p>
            <w:pPr>
              <w:spacing w:after="40"/>
            </w:pPr>
            <w:r/>
            <w:r>
              <w:rPr>
                <w:rFonts w:ascii="Aptos" w:hAnsi="Aptos"/>
                <w:b w:val="0"/>
                <w:color w:val="000000"/>
              </w:rPr>
              <w:t>Romans 8:1</w:t>
            </w:r>
          </w:p>
        </w:tc>
        <w:tc>
          <w:tcPr>
            <w:tcW w:type="dxa" w:w="3408"/>
            <w:vAlign w:val="top"/>
          </w:tcPr>
          <w:p>
            <w:pPr>
              <w:spacing w:after="40"/>
            </w:pPr>
            <w:r/>
            <w:r>
              <w:rPr>
                <w:rFonts w:ascii="Aptos" w:hAnsi="Aptos"/>
                <w:b w:val="0"/>
                <w:color w:val="000000"/>
              </w:rPr>
              <w:t>Why must assurance be rooted in Christ, not feelings?</w:t>
            </w:r>
          </w:p>
        </w:tc>
      </w:tr>
      <w:tr>
        <w:tc>
          <w:tcPr>
            <w:tcW w:type="dxa" w:w="3408"/>
            <w:vAlign w:val="top"/>
          </w:tcPr>
          <w:p>
            <w:pPr>
              <w:spacing w:after="40"/>
            </w:pPr>
            <w:r/>
            <w:r>
              <w:rPr>
                <w:rFonts w:ascii="Aptos" w:hAnsi="Aptos"/>
                <w:b w:val="0"/>
                <w:color w:val="000000"/>
              </w:rPr>
              <w:t>The cross</w:t>
            </w:r>
          </w:p>
        </w:tc>
        <w:tc>
          <w:tcPr>
            <w:tcW w:type="dxa" w:w="3408"/>
            <w:vAlign w:val="top"/>
          </w:tcPr>
          <w:p>
            <w:pPr>
              <w:spacing w:after="40"/>
            </w:pPr>
            <w:r/>
            <w:r>
              <w:rPr>
                <w:rFonts w:ascii="Aptos" w:hAnsi="Aptos"/>
                <w:b w:val="0"/>
                <w:color w:val="000000"/>
              </w:rPr>
              <w:t>Colossians 2:14</w:t>
            </w:r>
          </w:p>
        </w:tc>
        <w:tc>
          <w:tcPr>
            <w:tcW w:type="dxa" w:w="3408"/>
            <w:vAlign w:val="top"/>
          </w:tcPr>
          <w:p>
            <w:pPr>
              <w:spacing w:after="40"/>
            </w:pPr>
            <w:r/>
            <w:r>
              <w:rPr>
                <w:rFonts w:ascii="Aptos" w:hAnsi="Aptos"/>
                <w:b w:val="0"/>
                <w:color w:val="000000"/>
              </w:rPr>
              <w:t>How does forgiveness deepen Christian peace?</w:t>
            </w:r>
          </w:p>
        </w:tc>
      </w:tr>
      <w:tr>
        <w:tc>
          <w:tcPr>
            <w:tcW w:type="dxa" w:w="3408"/>
            <w:vAlign w:val="top"/>
          </w:tcPr>
          <w:p>
            <w:pPr>
              <w:spacing w:after="40"/>
            </w:pPr>
            <w:r/>
            <w:r>
              <w:rPr>
                <w:rFonts w:ascii="Aptos" w:hAnsi="Aptos"/>
                <w:b w:val="0"/>
                <w:color w:val="000000"/>
              </w:rPr>
              <w:t>Final victory</w:t>
            </w:r>
          </w:p>
        </w:tc>
        <w:tc>
          <w:tcPr>
            <w:tcW w:type="dxa" w:w="3408"/>
            <w:vAlign w:val="top"/>
          </w:tcPr>
          <w:p>
            <w:pPr>
              <w:spacing w:after="40"/>
            </w:pPr>
            <w:r/>
            <w:r>
              <w:rPr>
                <w:rFonts w:ascii="Aptos" w:hAnsi="Aptos"/>
                <w:b w:val="0"/>
                <w:color w:val="000000"/>
              </w:rPr>
              <w:t>1 Corinthians 15:57</w:t>
            </w:r>
          </w:p>
        </w:tc>
        <w:tc>
          <w:tcPr>
            <w:tcW w:type="dxa" w:w="3408"/>
            <w:vAlign w:val="top"/>
          </w:tcPr>
          <w:p>
            <w:pPr>
              <w:spacing w:after="40"/>
            </w:pPr>
            <w:r/>
            <w:r>
              <w:rPr>
                <w:rFonts w:ascii="Aptos" w:hAnsi="Aptos"/>
                <w:b w:val="0"/>
                <w:color w:val="000000"/>
              </w:rPr>
              <w:t>How does future hope help the church grieve faithfully?</w:t>
            </w:r>
          </w:p>
        </w:tc>
      </w:tr>
    </w:tbl>
    <w:p>
      <w:pPr>
        <w:pStyle w:val="Heading2"/>
      </w:pPr>
      <w:r>
        <w:t>Discussion Questions</w:t>
      </w:r>
    </w:p>
    <w:p>
      <w:pPr>
        <w:pStyle w:val="ListBullet"/>
        <w:spacing w:after="40"/>
      </w:pPr>
      <w:r>
        <w:t>How does Philippians 4:6-7 illuminate the hymn’s message of peace?</w:t>
      </w:r>
    </w:p>
    <w:p>
      <w:pPr>
        <w:pStyle w:val="ListBullet"/>
        <w:spacing w:after="40"/>
      </w:pPr>
      <w:r>
        <w:t>Why is it important that the hymn acknowledges sorrow rather than ignoring it?</w:t>
      </w:r>
    </w:p>
    <w:p>
      <w:pPr>
        <w:pStyle w:val="ListBullet"/>
        <w:spacing w:after="40"/>
      </w:pPr>
      <w:r>
        <w:t>How do Romans 8:1 and Colossians 2:14 support assurance of forgiveness?</w:t>
      </w:r>
    </w:p>
    <w:p>
      <w:pPr>
        <w:pStyle w:val="ListBullet"/>
        <w:spacing w:after="40"/>
      </w:pPr>
      <w:r>
        <w:t>What does the hymn teach about Christian hope in the face of death and loss?</w:t>
      </w:r>
    </w:p>
    <w:p>
      <w:pPr>
        <w:pStyle w:val="ListBullet"/>
        <w:spacing w:after="40"/>
      </w:pPr>
      <w:r>
        <w:t>How can a church use this hymn responsibly in times of grief?</w:t>
      </w:r>
    </w:p>
    <w:p>
      <w:pPr>
        <w:pStyle w:val="ListBullet"/>
        <w:spacing w:after="40"/>
      </w:pPr>
      <w:r>
        <w:t>Which theme in the hymn do you most need to carry into prayer this week?</w:t>
      </w:r>
    </w:p>
    <w:p>
      <w:pPr>
        <w:pStyle w:val="Heading2"/>
      </w:pPr>
      <w:r>
        <w:t>Practice This Week</w:t>
      </w:r>
    </w:p>
    <w:p>
      <w:pPr>
        <w:pStyle w:val="ListBullet"/>
        <w:spacing w:after="40"/>
      </w:pPr>
      <w:r>
        <w:t>Pray Philippians 4:6-7 each day, naming one anxiety honestly before God.</w:t>
      </w:r>
    </w:p>
    <w:p>
      <w:pPr>
        <w:pStyle w:val="ListBullet"/>
        <w:spacing w:after="40"/>
      </w:pPr>
      <w:r>
        <w:t>Meditate on Romans 8:1 and thank Christ for freedom from condemnation.</w:t>
      </w:r>
    </w:p>
    <w:p>
      <w:pPr>
        <w:pStyle w:val="ListBullet"/>
        <w:spacing w:after="40"/>
      </w:pPr>
      <w:r>
        <w:t>Encourage someone who is grieving with presence before advice.</w:t>
      </w:r>
    </w:p>
    <w:p>
      <w:pPr>
        <w:pStyle w:val="ListBullet"/>
        <w:spacing w:after="40"/>
      </w:pPr>
      <w:r>
        <w:t>Sing or read the hymn slowly as a prayer of trust.</w:t>
      </w:r>
    </w:p>
    <w:p>
      <w:pPr>
        <w:pStyle w:val="ListBullet"/>
        <w:spacing w:after="40"/>
      </w:pPr>
      <w:r>
        <w:t>Write one sentence of testimony: “Even here, Lord, teach my soul to rest in You.”</w:t>
      </w:r>
    </w:p>
    <w:p>
      <w:pPr>
        <w:pStyle w:val="Heading2"/>
      </w:pPr>
      <w:r>
        <w:t>Leader Notes</w:t>
      </w:r>
    </w:p>
    <w:p>
      <w:pPr>
        <w:spacing w:after="100"/>
      </w:pPr>
      <w:r>
        <w:t>Give room for silence. This hymn often touches tender grief. Let Scripture provide the foundation, and avoid using the historical tragedy merely as an emotional device.</w:t>
      </w:r>
    </w:p>
    <w:p>
      <w:pPr>
        <w:spacing w:after="100"/>
      </w:pPr>
      <w:r>
        <w:t>A good closing movement is to read Philippians 4:6-7 again, then invite the group to pray for peace, assurance, and hope in Christ.</w:t>
      </w:r>
    </w:p>
    <w:p>
      <w:pPr>
        <w:pStyle w:val="Heading2"/>
      </w:pPr>
      <w:r>
        <w:t>Closing Prayer</w:t>
      </w:r>
    </w:p>
    <w:p>
      <w:pPr>
        <w:spacing w:after="100"/>
      </w:pPr>
      <w:r>
        <w:t>Lord Jesus, meet us in sorrow with Your mercy. Guard our hearts with the peace of God, strengthen our assurance through Your cross, and teach us to hope in Your coming victory. Amen.</w:t>
      </w:r>
    </w:p>
    <w:p/>
    <w:p>
      <w:pPr>
        <w:jc w:val="center"/>
      </w:pPr>
      <w:r>
        <w:rPr>
          <w:color w:val="6B5C4C"/>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64"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B5C4C"/>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222D3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222D3A"/>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222D3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Is Well with My Soul Small Group Handout</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