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0312B"/>
          <w:sz w:val="48"/>
        </w:rPr>
        <w:t>How Great Thou Art</w:t>
      </w:r>
    </w:p>
    <w:p>
      <w:pPr>
        <w:spacing w:after="160"/>
        <w:jc w:val="center"/>
      </w:pPr>
      <w:r>
        <w:rPr>
          <w:rFonts w:ascii="Aptos" w:hAnsi="Aptos"/>
          <w:i/>
          <w:color w:val="5D6B62"/>
          <w:sz w:val="22"/>
        </w:rPr>
        <w:t>Small Group Handout: Wonder, Redemption, and Hope</w:t>
      </w:r>
    </w:p>
    <w:p>
      <w:pPr>
        <w:spacing w:after="60" w:line="252" w:lineRule="auto"/>
      </w:pPr>
      <w:r>
        <w:rPr>
          <w:rFonts w:ascii="Aptos" w:hAnsi="Aptos"/>
          <w:color w:val="20312B"/>
          <w:sz w:val="20"/>
        </w:rPr>
        <w:t>Purpose: To help the group see how this hymn moves from awe before God's creation to gratitude for Christ's redeeming love and hope in his return.</w:t>
      </w:r>
    </w:p>
    <w:p>
      <w:pPr>
        <w:pStyle w:val="Heading1"/>
        <w:spacing w:before="140" w:after="60"/>
      </w:pPr>
      <w:r>
        <w:rPr>
          <w:rFonts w:ascii="Georgia" w:hAnsi="Georgia"/>
          <w:b/>
          <w:color w:val="B78A39"/>
          <w:sz w:val="30"/>
        </w:rPr>
        <w:t>Opening Reflection</w:t>
      </w:r>
    </w:p>
    <w:p>
      <w:pPr>
        <w:pStyle w:val="ListBullet"/>
        <w:spacing w:after="30"/>
        <w:ind w:left="360"/>
      </w:pPr>
      <w:r>
        <w:rPr>
          <w:rFonts w:ascii="Aptos" w:hAnsi="Aptos"/>
          <w:color w:val="20312B"/>
          <w:sz w:val="20"/>
        </w:rPr>
        <w:t>When have you felt small before the beauty or power of creation?</w:t>
      </w:r>
    </w:p>
    <w:p>
      <w:pPr>
        <w:pStyle w:val="ListBullet"/>
        <w:spacing w:after="30"/>
        <w:ind w:left="360"/>
      </w:pPr>
      <w:r>
        <w:rPr>
          <w:rFonts w:ascii="Aptos" w:hAnsi="Aptos"/>
          <w:color w:val="20312B"/>
          <w:sz w:val="20"/>
        </w:rPr>
        <w:t>How does worship change when we remember both God's majesty and God's mercy?</w:t>
      </w:r>
    </w:p>
    <w:p>
      <w:pPr>
        <w:pStyle w:val="ListBullet"/>
        <w:spacing w:after="30"/>
        <w:ind w:left="360"/>
      </w:pPr>
      <w:r>
        <w:rPr>
          <w:rFonts w:ascii="Aptos" w:hAnsi="Aptos"/>
          <w:color w:val="20312B"/>
          <w:sz w:val="20"/>
        </w:rPr>
        <w:t>What line of the hymn has been most meaningful to you, and why?</w:t>
      </w:r>
    </w:p>
    <w:p>
      <w:pPr>
        <w:pStyle w:val="Heading1"/>
        <w:spacing w:before="140" w:after="60"/>
      </w:pPr>
      <w:r>
        <w:rPr>
          <w:rFonts w:ascii="Georgia" w:hAnsi="Georgia"/>
          <w:b/>
          <w:color w:val="B78A39"/>
          <w:sz w:val="30"/>
        </w:rPr>
        <w:t>Brief Hymn Background</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F3E8D3"/>
            <w:vAlign w:val="center"/>
          </w:tcPr>
          <w:p>
            <w:pPr>
              <w:spacing w:after="0"/>
            </w:pPr>
            <w:r/>
            <w:r>
              <w:rPr>
                <w:rFonts w:ascii="Aptos" w:hAnsi="Aptos"/>
                <w:b/>
                <w:color w:val="20312B"/>
                <w:sz w:val="19"/>
              </w:rPr>
              <w:t>Title</w:t>
            </w:r>
          </w:p>
        </w:tc>
        <w:tc>
          <w:tcPr>
            <w:tcW w:type="dxa" w:w="5184"/>
            <w:vAlign w:val="center"/>
          </w:tcPr>
          <w:p>
            <w:pPr>
              <w:spacing w:after="0"/>
            </w:pPr>
            <w:r/>
            <w:r>
              <w:rPr>
                <w:rFonts w:ascii="Aptos" w:hAnsi="Aptos"/>
                <w:b w:val="0"/>
                <w:color w:val="20312B"/>
                <w:sz w:val="19"/>
              </w:rPr>
              <w:t>How Great Thou Art</w:t>
            </w:r>
          </w:p>
        </w:tc>
      </w:tr>
      <w:tr>
        <w:tc>
          <w:tcPr>
            <w:tcW w:type="dxa" w:w="5184"/>
            <w:shd w:fill="F3E8D3"/>
            <w:vAlign w:val="center"/>
          </w:tcPr>
          <w:p>
            <w:pPr>
              <w:spacing w:after="0"/>
            </w:pPr>
            <w:r/>
            <w:r>
              <w:rPr>
                <w:rFonts w:ascii="Aptos" w:hAnsi="Aptos"/>
                <w:b/>
                <w:color w:val="20312B"/>
                <w:sz w:val="19"/>
              </w:rPr>
              <w:t>Alternative title</w:t>
            </w:r>
          </w:p>
        </w:tc>
        <w:tc>
          <w:tcPr>
            <w:tcW w:type="dxa" w:w="5184"/>
            <w:vAlign w:val="center"/>
          </w:tcPr>
          <w:p>
            <w:pPr>
              <w:spacing w:after="0"/>
            </w:pPr>
            <w:r/>
            <w:r>
              <w:rPr>
                <w:rFonts w:ascii="Aptos" w:hAnsi="Aptos"/>
                <w:b w:val="0"/>
                <w:color w:val="20312B"/>
                <w:sz w:val="19"/>
              </w:rPr>
              <w:t>O Store Gud</w:t>
            </w:r>
          </w:p>
        </w:tc>
      </w:tr>
      <w:tr>
        <w:tc>
          <w:tcPr>
            <w:tcW w:type="dxa" w:w="5184"/>
            <w:shd w:fill="F3E8D3"/>
            <w:vAlign w:val="center"/>
          </w:tcPr>
          <w:p>
            <w:pPr>
              <w:spacing w:after="0"/>
            </w:pPr>
            <w:r/>
            <w:r>
              <w:rPr>
                <w:rFonts w:ascii="Aptos" w:hAnsi="Aptos"/>
                <w:b/>
                <w:color w:val="20312B"/>
                <w:sz w:val="19"/>
              </w:rPr>
              <w:t>First line</w:t>
            </w:r>
          </w:p>
        </w:tc>
        <w:tc>
          <w:tcPr>
            <w:tcW w:type="dxa" w:w="5184"/>
            <w:vAlign w:val="center"/>
          </w:tcPr>
          <w:p>
            <w:pPr>
              <w:spacing w:after="0"/>
            </w:pPr>
            <w:r/>
            <w:r>
              <w:rPr>
                <w:rFonts w:ascii="Aptos" w:hAnsi="Aptos"/>
                <w:b w:val="0"/>
                <w:color w:val="20312B"/>
                <w:sz w:val="19"/>
              </w:rPr>
              <w:t>O Lord my God when I in awesome wonder</w:t>
            </w:r>
          </w:p>
        </w:tc>
      </w:tr>
      <w:tr>
        <w:tc>
          <w:tcPr>
            <w:tcW w:type="dxa" w:w="5184"/>
            <w:shd w:fill="F3E8D3"/>
            <w:vAlign w:val="center"/>
          </w:tcPr>
          <w:p>
            <w:pPr>
              <w:spacing w:after="0"/>
            </w:pPr>
            <w:r/>
            <w:r>
              <w:rPr>
                <w:rFonts w:ascii="Aptos" w:hAnsi="Aptos"/>
                <w:b/>
                <w:color w:val="20312B"/>
                <w:sz w:val="19"/>
              </w:rPr>
              <w:t>Original author</w:t>
            </w:r>
          </w:p>
        </w:tc>
        <w:tc>
          <w:tcPr>
            <w:tcW w:type="dxa" w:w="5184"/>
            <w:vAlign w:val="center"/>
          </w:tcPr>
          <w:p>
            <w:pPr>
              <w:spacing w:after="0"/>
            </w:pPr>
            <w:r/>
            <w:r>
              <w:rPr>
                <w:rFonts w:ascii="Aptos" w:hAnsi="Aptos"/>
                <w:b w:val="0"/>
                <w:color w:val="20312B"/>
                <w:sz w:val="19"/>
              </w:rPr>
              <w:t>Carl Boberg (1859-1940), Swedish poet and churchman</w:t>
            </w:r>
          </w:p>
        </w:tc>
      </w:tr>
      <w:tr>
        <w:tc>
          <w:tcPr>
            <w:tcW w:type="dxa" w:w="5184"/>
            <w:shd w:fill="F3E8D3"/>
            <w:vAlign w:val="center"/>
          </w:tcPr>
          <w:p>
            <w:pPr>
              <w:spacing w:after="0"/>
            </w:pPr>
            <w:r/>
            <w:r>
              <w:rPr>
                <w:rFonts w:ascii="Aptos" w:hAnsi="Aptos"/>
                <w:b/>
                <w:color w:val="20312B"/>
                <w:sz w:val="19"/>
              </w:rPr>
              <w:t>English adapter</w:t>
            </w:r>
          </w:p>
        </w:tc>
        <w:tc>
          <w:tcPr>
            <w:tcW w:type="dxa" w:w="5184"/>
            <w:vAlign w:val="center"/>
          </w:tcPr>
          <w:p>
            <w:pPr>
              <w:spacing w:after="0"/>
            </w:pPr>
            <w:r/>
            <w:r>
              <w:rPr>
                <w:rFonts w:ascii="Aptos" w:hAnsi="Aptos"/>
                <w:b w:val="0"/>
                <w:color w:val="20312B"/>
                <w:sz w:val="19"/>
              </w:rPr>
              <w:t>Stuart K. Hine (1899-1989), British missionary and hymn writer</w:t>
            </w:r>
          </w:p>
        </w:tc>
      </w:tr>
      <w:tr>
        <w:tc>
          <w:tcPr>
            <w:tcW w:type="dxa" w:w="5184"/>
            <w:shd w:fill="F3E8D3"/>
            <w:vAlign w:val="center"/>
          </w:tcPr>
          <w:p>
            <w:pPr>
              <w:spacing w:after="0"/>
            </w:pPr>
            <w:r/>
            <w:r>
              <w:rPr>
                <w:rFonts w:ascii="Aptos" w:hAnsi="Aptos"/>
                <w:b/>
                <w:color w:val="20312B"/>
                <w:sz w:val="19"/>
              </w:rPr>
              <w:t>Tune</w:t>
            </w:r>
          </w:p>
        </w:tc>
        <w:tc>
          <w:tcPr>
            <w:tcW w:type="dxa" w:w="5184"/>
            <w:vAlign w:val="center"/>
          </w:tcPr>
          <w:p>
            <w:pPr>
              <w:spacing w:after="0"/>
            </w:pPr>
            <w:r/>
            <w:r>
              <w:rPr>
                <w:rFonts w:ascii="Aptos" w:hAnsi="Aptos"/>
                <w:b w:val="0"/>
                <w:color w:val="20312B"/>
                <w:sz w:val="19"/>
              </w:rPr>
              <w:t>HOW GREAT THOU ART / O STORE GUD, rooted in a Swedish folk melody</w:t>
            </w:r>
          </w:p>
        </w:tc>
      </w:tr>
      <w:tr>
        <w:tc>
          <w:tcPr>
            <w:tcW w:type="dxa" w:w="5184"/>
            <w:shd w:fill="F3E8D3"/>
            <w:vAlign w:val="center"/>
          </w:tcPr>
          <w:p>
            <w:pPr>
              <w:spacing w:after="0"/>
            </w:pPr>
            <w:r/>
            <w:r>
              <w:rPr>
                <w:rFonts w:ascii="Aptos" w:hAnsi="Aptos"/>
                <w:b/>
                <w:color w:val="20312B"/>
                <w:sz w:val="19"/>
              </w:rPr>
              <w:t>Meter</w:t>
            </w:r>
          </w:p>
        </w:tc>
        <w:tc>
          <w:tcPr>
            <w:tcW w:type="dxa" w:w="5184"/>
            <w:vAlign w:val="center"/>
          </w:tcPr>
          <w:p>
            <w:pPr>
              <w:spacing w:after="0"/>
            </w:pPr>
            <w:r/>
            <w:r>
              <w:rPr>
                <w:rFonts w:ascii="Aptos" w:hAnsi="Aptos"/>
                <w:b w:val="0"/>
                <w:color w:val="20312B"/>
                <w:sz w:val="19"/>
              </w:rPr>
              <w:t>11.10.11.10 with refrain</w:t>
            </w:r>
          </w:p>
        </w:tc>
      </w:tr>
      <w:tr>
        <w:tc>
          <w:tcPr>
            <w:tcW w:type="dxa" w:w="5184"/>
            <w:shd w:fill="F3E8D3"/>
            <w:vAlign w:val="center"/>
          </w:tcPr>
          <w:p>
            <w:pPr>
              <w:spacing w:after="0"/>
            </w:pPr>
            <w:r/>
            <w:r>
              <w:rPr>
                <w:rFonts w:ascii="Aptos" w:hAnsi="Aptos"/>
                <w:b/>
                <w:color w:val="20312B"/>
                <w:sz w:val="19"/>
              </w:rPr>
              <w:t>Historical note</w:t>
            </w:r>
          </w:p>
        </w:tc>
        <w:tc>
          <w:tcPr>
            <w:tcW w:type="dxa" w:w="5184"/>
            <w:vAlign w:val="center"/>
          </w:tcPr>
          <w:p>
            <w:pPr>
              <w:spacing w:after="0"/>
            </w:pPr>
            <w:r/>
            <w:r>
              <w:rPr>
                <w:rFonts w:ascii="Aptos" w:hAnsi="Aptos"/>
                <w:b w:val="0"/>
                <w:color w:val="20312B"/>
                <w:sz w:val="19"/>
              </w:rPr>
              <w:t>Boberg wrote the Swedish poem in 1885. The familiar English form reflects later translation and adaptation, especially through Hine's work in the twentieth century.</w:t>
            </w:r>
          </w:p>
        </w:tc>
      </w:tr>
    </w:tbl>
    <w:p>
      <w:pPr>
        <w:pStyle w:val="Heading1"/>
        <w:spacing w:before="140" w:after="60"/>
      </w:pPr>
      <w:r>
        <w:rPr>
          <w:rFonts w:ascii="Georgia" w:hAnsi="Georgia"/>
          <w:b/>
          <w:color w:val="B78A39"/>
          <w:sz w:val="30"/>
        </w:rPr>
        <w:t>Scripture Foundation</w:t>
      </w:r>
    </w:p>
    <w:p>
      <w:pPr>
        <w:spacing w:after="60" w:line="252" w:lineRule="auto"/>
      </w:pPr>
      <w:r>
        <w:rPr>
          <w:rFonts w:ascii="Aptos" w:hAnsi="Aptos"/>
          <w:color w:val="20312B"/>
          <w:sz w:val="20"/>
        </w:rPr>
        <w:t>Primary Scripture: Psalm 19:1-4. Supporting Scriptures: Psalm 8:1-9; Romans 5:8; Romans 8:32; Colossians 1:15-20; 1 Peter 2:24; 1 Thessalonians 4:16-17; Revelation 15:3-4.</w:t>
      </w:r>
    </w:p>
    <w:p>
      <w:pPr>
        <w:pStyle w:val="Heading1"/>
        <w:spacing w:before="140" w:after="60"/>
      </w:pPr>
      <w:r>
        <w:rPr>
          <w:rFonts w:ascii="Georgia" w:hAnsi="Georgia"/>
          <w:b/>
          <w:color w:val="B78A39"/>
          <w:sz w:val="30"/>
        </w:rPr>
        <w:t>Stanza-by-Stanza Study</w:t>
      </w:r>
    </w:p>
    <w:p>
      <w:pPr>
        <w:pStyle w:val="Heading2"/>
        <w:spacing w:before="100" w:after="40"/>
      </w:pPr>
      <w:r>
        <w:rPr>
          <w:rFonts w:ascii="Georgia" w:hAnsi="Georgia"/>
          <w:b/>
          <w:color w:val="20312B"/>
          <w:sz w:val="25"/>
        </w:rPr>
        <w:t>Stanza 1 - Wonder at Creation</w:t>
      </w:r>
    </w:p>
    <w:p>
      <w:pPr>
        <w:spacing w:after="60" w:line="252" w:lineRule="auto"/>
      </w:pPr>
      <w:r>
        <w:rPr>
          <w:rFonts w:ascii="Aptos" w:hAnsi="Aptos"/>
          <w:color w:val="20312B"/>
          <w:sz w:val="20"/>
        </w:rPr>
        <w:t>The hymn begins with a worshiper considering the works of God: stars, thunder, and the vast universe. The response is not detached observation but personal adoration. Psalm 19 helps us see creation as a witness to God's glory.</w:t>
      </w:r>
    </w:p>
    <w:p>
      <w:pPr>
        <w:pStyle w:val="Heading2"/>
        <w:spacing w:before="100" w:after="40"/>
      </w:pPr>
      <w:r>
        <w:rPr>
          <w:rFonts w:ascii="Georgia" w:hAnsi="Georgia"/>
          <w:b/>
          <w:color w:val="20312B"/>
          <w:sz w:val="25"/>
        </w:rPr>
        <w:t>Additional Creation Imagery</w:t>
      </w:r>
    </w:p>
    <w:p>
      <w:pPr>
        <w:spacing w:after="60" w:line="252" w:lineRule="auto"/>
      </w:pPr>
      <w:r>
        <w:rPr>
          <w:rFonts w:ascii="Aptos" w:hAnsi="Aptos"/>
          <w:color w:val="20312B"/>
          <w:sz w:val="20"/>
        </w:rPr>
        <w:t>Some hymnals preserve additional stanza material that expands the creation imagery through woods, forest glades, and birdsong. This invites believers to notice God's greatness not only in dramatic storms, but also in quiet beauty.</w:t>
      </w:r>
    </w:p>
    <w:p>
      <w:pPr>
        <w:pStyle w:val="Heading2"/>
        <w:spacing w:before="100" w:after="40"/>
      </w:pPr>
      <w:r>
        <w:rPr>
          <w:rFonts w:ascii="Georgia" w:hAnsi="Georgia"/>
          <w:b/>
          <w:color w:val="20312B"/>
          <w:sz w:val="25"/>
        </w:rPr>
        <w:t>Stanza 2 - Wonder at the Cross</w:t>
      </w:r>
    </w:p>
    <w:p>
      <w:pPr>
        <w:spacing w:after="60" w:line="252" w:lineRule="auto"/>
      </w:pPr>
      <w:r>
        <w:rPr>
          <w:rFonts w:ascii="Aptos" w:hAnsi="Aptos"/>
          <w:color w:val="20312B"/>
          <w:sz w:val="20"/>
        </w:rPr>
        <w:t>The hymn turns from what God has made to what God has given. The cross reveals a greatness deeper than power: the holy love of God in Christ, who bore sin and brings sinners near.</w:t>
      </w:r>
    </w:p>
    <w:p>
      <w:pPr>
        <w:pStyle w:val="Heading2"/>
        <w:spacing w:before="100" w:after="40"/>
      </w:pPr>
      <w:r>
        <w:rPr>
          <w:rFonts w:ascii="Georgia" w:hAnsi="Georgia"/>
          <w:b/>
          <w:color w:val="20312B"/>
          <w:sz w:val="25"/>
        </w:rPr>
        <w:t>Stanza 3 - Hope in Christ's Return</w:t>
      </w:r>
    </w:p>
    <w:p>
      <w:pPr>
        <w:spacing w:after="60" w:line="252" w:lineRule="auto"/>
      </w:pPr>
      <w:r>
        <w:rPr>
          <w:rFonts w:ascii="Aptos" w:hAnsi="Aptos"/>
          <w:color w:val="20312B"/>
          <w:sz w:val="20"/>
        </w:rPr>
        <w:t>The final stanza looks toward Christ's coming and the believer's future joy. The hymn ends in humble adoration, showing that Christian hope leads not to speculation, but to worship.</w:t>
      </w:r>
    </w:p>
    <w:p>
      <w:pPr>
        <w:pStyle w:val="Heading2"/>
        <w:spacing w:before="100" w:after="40"/>
      </w:pPr>
      <w:r>
        <w:rPr>
          <w:rFonts w:ascii="Georgia" w:hAnsi="Georgia"/>
          <w:b/>
          <w:color w:val="20312B"/>
          <w:sz w:val="25"/>
        </w:rPr>
        <w:t>Refrain - The Soul's Response</w:t>
      </w:r>
    </w:p>
    <w:p>
      <w:pPr>
        <w:spacing w:after="60" w:line="252" w:lineRule="auto"/>
      </w:pPr>
      <w:r>
        <w:rPr>
          <w:rFonts w:ascii="Aptos" w:hAnsi="Aptos"/>
          <w:color w:val="20312B"/>
          <w:sz w:val="20"/>
        </w:rPr>
        <w:t>The refrain gathers every stanza into a repeated confession of praise. Creation, redemption, and hope all lead the singer to adore the Savior God.</w:t>
      </w:r>
    </w:p>
    <w:p>
      <w:pPr>
        <w:pStyle w:val="Heading1"/>
        <w:spacing w:before="140" w:after="60"/>
      </w:pPr>
      <w:r>
        <w:rPr>
          <w:rFonts w:ascii="Georgia" w:hAnsi="Georgia"/>
          <w:b/>
          <w:color w:val="B78A39"/>
          <w:sz w:val="30"/>
        </w:rP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EAD8B5"/>
            <w:vAlign w:val="top"/>
          </w:tcPr>
          <w:p>
            <w:pPr>
              <w:spacing w:after="0"/>
            </w:pPr>
            <w:r/>
            <w:r>
              <w:rPr>
                <w:rFonts w:ascii="Aptos" w:hAnsi="Aptos"/>
                <w:b/>
                <w:color w:val="20312B"/>
                <w:sz w:val="18"/>
              </w:rPr>
              <w:t>Hymn Theme</w:t>
            </w:r>
          </w:p>
        </w:tc>
        <w:tc>
          <w:tcPr>
            <w:tcW w:type="dxa" w:w="3456"/>
            <w:shd w:fill="EAD8B5"/>
            <w:vAlign w:val="top"/>
          </w:tcPr>
          <w:p>
            <w:pPr>
              <w:spacing w:after="0"/>
            </w:pPr>
            <w:r/>
            <w:r>
              <w:rPr>
                <w:rFonts w:ascii="Aptos" w:hAnsi="Aptos"/>
                <w:b/>
                <w:color w:val="20312B"/>
                <w:sz w:val="18"/>
              </w:rPr>
              <w:t>Scripture Connection</w:t>
            </w:r>
          </w:p>
        </w:tc>
        <w:tc>
          <w:tcPr>
            <w:tcW w:type="dxa" w:w="3456"/>
            <w:shd w:fill="EAD8B5"/>
            <w:vAlign w:val="top"/>
          </w:tcPr>
          <w:p>
            <w:pPr>
              <w:spacing w:after="0"/>
            </w:pPr>
            <w:r/>
            <w:r>
              <w:rPr>
                <w:rFonts w:ascii="Aptos" w:hAnsi="Aptos"/>
                <w:b/>
                <w:color w:val="20312B"/>
                <w:sz w:val="18"/>
              </w:rPr>
              <w:t>Discussion Prompt</w:t>
            </w:r>
          </w:p>
        </w:tc>
      </w:tr>
      <w:tr>
        <w:tc>
          <w:tcPr>
            <w:tcW w:type="dxa" w:w="3456"/>
            <w:vAlign w:val="top"/>
          </w:tcPr>
          <w:p>
            <w:pPr>
              <w:spacing w:after="0"/>
            </w:pPr>
            <w:r/>
            <w:r>
              <w:rPr>
                <w:rFonts w:ascii="Aptos" w:hAnsi="Aptos"/>
                <w:b w:val="0"/>
                <w:color w:val="20312B"/>
                <w:sz w:val="17"/>
              </w:rPr>
              <w:t>Creation</w:t>
            </w:r>
          </w:p>
        </w:tc>
        <w:tc>
          <w:tcPr>
            <w:tcW w:type="dxa" w:w="3456"/>
            <w:vAlign w:val="top"/>
          </w:tcPr>
          <w:p>
            <w:pPr>
              <w:spacing w:after="0"/>
            </w:pPr>
            <w:r/>
            <w:r>
              <w:rPr>
                <w:rFonts w:ascii="Aptos" w:hAnsi="Aptos"/>
                <w:b w:val="0"/>
                <w:color w:val="20312B"/>
                <w:sz w:val="17"/>
              </w:rPr>
              <w:t>Psalm 19:1-4</w:t>
            </w:r>
          </w:p>
        </w:tc>
        <w:tc>
          <w:tcPr>
            <w:tcW w:type="dxa" w:w="3456"/>
            <w:vAlign w:val="top"/>
          </w:tcPr>
          <w:p>
            <w:pPr>
              <w:spacing w:after="0"/>
            </w:pPr>
            <w:r/>
            <w:r>
              <w:rPr>
                <w:rFonts w:ascii="Aptos" w:hAnsi="Aptos"/>
                <w:b w:val="0"/>
                <w:color w:val="20312B"/>
                <w:sz w:val="17"/>
              </w:rPr>
              <w:t>What does creation teach us about God?</w:t>
            </w:r>
          </w:p>
        </w:tc>
      </w:tr>
      <w:tr>
        <w:tc>
          <w:tcPr>
            <w:tcW w:type="dxa" w:w="3456"/>
            <w:vAlign w:val="top"/>
          </w:tcPr>
          <w:p>
            <w:pPr>
              <w:spacing w:after="0"/>
            </w:pPr>
            <w:r/>
            <w:r>
              <w:rPr>
                <w:rFonts w:ascii="Aptos" w:hAnsi="Aptos"/>
                <w:b w:val="0"/>
                <w:color w:val="20312B"/>
                <w:sz w:val="17"/>
              </w:rPr>
              <w:t>Human humility</w:t>
            </w:r>
          </w:p>
        </w:tc>
        <w:tc>
          <w:tcPr>
            <w:tcW w:type="dxa" w:w="3456"/>
            <w:vAlign w:val="top"/>
          </w:tcPr>
          <w:p>
            <w:pPr>
              <w:spacing w:after="0"/>
            </w:pPr>
            <w:r/>
            <w:r>
              <w:rPr>
                <w:rFonts w:ascii="Aptos" w:hAnsi="Aptos"/>
                <w:b w:val="0"/>
                <w:color w:val="20312B"/>
                <w:sz w:val="17"/>
              </w:rPr>
              <w:t>Psalm 8:1-9</w:t>
            </w:r>
          </w:p>
        </w:tc>
        <w:tc>
          <w:tcPr>
            <w:tcW w:type="dxa" w:w="3456"/>
            <w:vAlign w:val="top"/>
          </w:tcPr>
          <w:p>
            <w:pPr>
              <w:spacing w:after="0"/>
            </w:pPr>
            <w:r/>
            <w:r>
              <w:rPr>
                <w:rFonts w:ascii="Aptos" w:hAnsi="Aptos"/>
                <w:b w:val="0"/>
                <w:color w:val="20312B"/>
                <w:sz w:val="17"/>
              </w:rPr>
              <w:t>How does awe make us humble rather than fearful?</w:t>
            </w:r>
          </w:p>
        </w:tc>
      </w:tr>
      <w:tr>
        <w:tc>
          <w:tcPr>
            <w:tcW w:type="dxa" w:w="3456"/>
            <w:vAlign w:val="top"/>
          </w:tcPr>
          <w:p>
            <w:pPr>
              <w:spacing w:after="0"/>
            </w:pPr>
            <w:r/>
            <w:r>
              <w:rPr>
                <w:rFonts w:ascii="Aptos" w:hAnsi="Aptos"/>
                <w:b w:val="0"/>
                <w:color w:val="20312B"/>
                <w:sz w:val="17"/>
              </w:rPr>
              <w:t>Redeeming love</w:t>
            </w:r>
          </w:p>
        </w:tc>
        <w:tc>
          <w:tcPr>
            <w:tcW w:type="dxa" w:w="3456"/>
            <w:vAlign w:val="top"/>
          </w:tcPr>
          <w:p>
            <w:pPr>
              <w:spacing w:after="0"/>
            </w:pPr>
            <w:r/>
            <w:r>
              <w:rPr>
                <w:rFonts w:ascii="Aptos" w:hAnsi="Aptos"/>
                <w:b w:val="0"/>
                <w:color w:val="20312B"/>
                <w:sz w:val="17"/>
              </w:rPr>
              <w:t>Romans 5:8; Romans 8:32</w:t>
            </w:r>
          </w:p>
        </w:tc>
        <w:tc>
          <w:tcPr>
            <w:tcW w:type="dxa" w:w="3456"/>
            <w:vAlign w:val="top"/>
          </w:tcPr>
          <w:p>
            <w:pPr>
              <w:spacing w:after="0"/>
            </w:pPr>
            <w:r/>
            <w:r>
              <w:rPr>
                <w:rFonts w:ascii="Aptos" w:hAnsi="Aptos"/>
                <w:b w:val="0"/>
                <w:color w:val="20312B"/>
                <w:sz w:val="17"/>
              </w:rPr>
              <w:t>Why is the cross the deepest revelation of divine greatness?</w:t>
            </w:r>
          </w:p>
        </w:tc>
      </w:tr>
      <w:tr>
        <w:tc>
          <w:tcPr>
            <w:tcW w:type="dxa" w:w="3456"/>
            <w:vAlign w:val="top"/>
          </w:tcPr>
          <w:p>
            <w:pPr>
              <w:spacing w:after="0"/>
            </w:pPr>
            <w:r/>
            <w:r>
              <w:rPr>
                <w:rFonts w:ascii="Aptos" w:hAnsi="Aptos"/>
                <w:b w:val="0"/>
                <w:color w:val="20312B"/>
                <w:sz w:val="17"/>
              </w:rPr>
              <w:t>Christ's lordship</w:t>
            </w:r>
          </w:p>
        </w:tc>
        <w:tc>
          <w:tcPr>
            <w:tcW w:type="dxa" w:w="3456"/>
            <w:vAlign w:val="top"/>
          </w:tcPr>
          <w:p>
            <w:pPr>
              <w:spacing w:after="0"/>
            </w:pPr>
            <w:r/>
            <w:r>
              <w:rPr>
                <w:rFonts w:ascii="Aptos" w:hAnsi="Aptos"/>
                <w:b w:val="0"/>
                <w:color w:val="20312B"/>
                <w:sz w:val="17"/>
              </w:rPr>
              <w:t>Colossians 1:15-20</w:t>
            </w:r>
          </w:p>
        </w:tc>
        <w:tc>
          <w:tcPr>
            <w:tcW w:type="dxa" w:w="3456"/>
            <w:vAlign w:val="top"/>
          </w:tcPr>
          <w:p>
            <w:pPr>
              <w:spacing w:after="0"/>
            </w:pPr>
            <w:r/>
            <w:r>
              <w:rPr>
                <w:rFonts w:ascii="Aptos" w:hAnsi="Aptos"/>
                <w:b w:val="0"/>
                <w:color w:val="20312B"/>
                <w:sz w:val="17"/>
              </w:rPr>
              <w:t>How does Christ hold creation and redemption together?</w:t>
            </w:r>
          </w:p>
        </w:tc>
      </w:tr>
      <w:tr>
        <w:tc>
          <w:tcPr>
            <w:tcW w:type="dxa" w:w="3456"/>
            <w:vAlign w:val="top"/>
          </w:tcPr>
          <w:p>
            <w:pPr>
              <w:spacing w:after="0"/>
            </w:pPr>
            <w:r/>
            <w:r>
              <w:rPr>
                <w:rFonts w:ascii="Aptos" w:hAnsi="Aptos"/>
                <w:b w:val="0"/>
                <w:color w:val="20312B"/>
                <w:sz w:val="17"/>
              </w:rPr>
              <w:t>Future hope</w:t>
            </w:r>
          </w:p>
        </w:tc>
        <w:tc>
          <w:tcPr>
            <w:tcW w:type="dxa" w:w="3456"/>
            <w:vAlign w:val="top"/>
          </w:tcPr>
          <w:p>
            <w:pPr>
              <w:spacing w:after="0"/>
            </w:pPr>
            <w:r/>
            <w:r>
              <w:rPr>
                <w:rFonts w:ascii="Aptos" w:hAnsi="Aptos"/>
                <w:b w:val="0"/>
                <w:color w:val="20312B"/>
                <w:sz w:val="17"/>
              </w:rPr>
              <w:t>1 Thessalonians 4:16-17</w:t>
            </w:r>
          </w:p>
        </w:tc>
        <w:tc>
          <w:tcPr>
            <w:tcW w:type="dxa" w:w="3456"/>
            <w:vAlign w:val="top"/>
          </w:tcPr>
          <w:p>
            <w:pPr>
              <w:spacing w:after="0"/>
            </w:pPr>
            <w:r/>
            <w:r>
              <w:rPr>
                <w:rFonts w:ascii="Aptos" w:hAnsi="Aptos"/>
                <w:b w:val="0"/>
                <w:color w:val="20312B"/>
                <w:sz w:val="17"/>
              </w:rPr>
              <w:t>How does Christ's return shape worship today?</w:t>
            </w:r>
          </w:p>
        </w:tc>
      </w:tr>
    </w:tbl>
    <w:p>
      <w:pPr>
        <w:pStyle w:val="Heading1"/>
        <w:spacing w:before="140" w:after="60"/>
      </w:pPr>
      <w:r>
        <w:rPr>
          <w:rFonts w:ascii="Georgia" w:hAnsi="Georgia"/>
          <w:b/>
          <w:color w:val="B78A39"/>
          <w:sz w:val="30"/>
        </w:rPr>
        <w:t>Discussion Questions</w:t>
      </w:r>
    </w:p>
    <w:p>
      <w:pPr>
        <w:pStyle w:val="ListBullet"/>
        <w:spacing w:after="30"/>
        <w:ind w:left="360"/>
      </w:pPr>
      <w:r>
        <w:rPr>
          <w:rFonts w:ascii="Aptos" w:hAnsi="Aptos"/>
          <w:color w:val="20312B"/>
          <w:sz w:val="20"/>
        </w:rPr>
        <w:t>What does the hymn ask us to observe before it asks us to sing?</w:t>
      </w:r>
    </w:p>
    <w:p>
      <w:pPr>
        <w:pStyle w:val="ListBullet"/>
        <w:spacing w:after="30"/>
        <w:ind w:left="360"/>
      </w:pPr>
      <w:r>
        <w:rPr>
          <w:rFonts w:ascii="Aptos" w:hAnsi="Aptos"/>
          <w:color w:val="20312B"/>
          <w:sz w:val="20"/>
        </w:rPr>
        <w:t>How does Psalm 19 help us understand the first stanza?</w:t>
      </w:r>
    </w:p>
    <w:p>
      <w:pPr>
        <w:pStyle w:val="ListBullet"/>
        <w:spacing w:after="30"/>
        <w:ind w:left="360"/>
      </w:pPr>
      <w:r>
        <w:rPr>
          <w:rFonts w:ascii="Aptos" w:hAnsi="Aptos"/>
          <w:color w:val="20312B"/>
          <w:sz w:val="20"/>
        </w:rPr>
        <w:t>Why is the cross more astonishing than creation alone?</w:t>
      </w:r>
    </w:p>
    <w:p>
      <w:pPr>
        <w:pStyle w:val="ListBullet"/>
        <w:spacing w:after="30"/>
        <w:ind w:left="360"/>
      </w:pPr>
      <w:r>
        <w:rPr>
          <w:rFonts w:ascii="Aptos" w:hAnsi="Aptos"/>
          <w:color w:val="20312B"/>
          <w:sz w:val="20"/>
        </w:rPr>
        <w:t>What does the hymn teach about Christ's return?</w:t>
      </w:r>
    </w:p>
    <w:p>
      <w:pPr>
        <w:pStyle w:val="ListBullet"/>
        <w:spacing w:after="30"/>
        <w:ind w:left="360"/>
      </w:pPr>
      <w:r>
        <w:rPr>
          <w:rFonts w:ascii="Aptos" w:hAnsi="Aptos"/>
          <w:color w:val="20312B"/>
          <w:sz w:val="20"/>
        </w:rPr>
        <w:t>How does the refrain help a congregation confess faith together?</w:t>
      </w:r>
    </w:p>
    <w:p>
      <w:pPr>
        <w:pStyle w:val="ListBullet"/>
        <w:spacing w:after="30"/>
        <w:ind w:left="360"/>
      </w:pPr>
      <w:r>
        <w:rPr>
          <w:rFonts w:ascii="Aptos" w:hAnsi="Aptos"/>
          <w:color w:val="20312B"/>
          <w:sz w:val="20"/>
        </w:rPr>
        <w:t>Where do you most need awe, gratitude, or hope this week?</w:t>
      </w:r>
    </w:p>
    <w:p>
      <w:pPr>
        <w:pStyle w:val="ListBullet"/>
        <w:spacing w:after="30"/>
        <w:ind w:left="360"/>
      </w:pPr>
      <w:r>
        <w:rPr>
          <w:rFonts w:ascii="Aptos" w:hAnsi="Aptos"/>
          <w:color w:val="20312B"/>
          <w:sz w:val="20"/>
        </w:rPr>
        <w:t>How might this hymn encourage someone who is anxious, grieving, or weary?</w:t>
      </w:r>
    </w:p>
    <w:p>
      <w:pPr>
        <w:pStyle w:val="ListBullet"/>
        <w:spacing w:after="30"/>
        <w:ind w:left="360"/>
      </w:pPr>
      <w:r>
        <w:rPr>
          <w:rFonts w:ascii="Aptos" w:hAnsi="Aptos"/>
          <w:color w:val="20312B"/>
          <w:sz w:val="20"/>
        </w:rPr>
        <w:t>How could your church use this hymn more thoughtfully in worship?</w:t>
      </w:r>
    </w:p>
    <w:p>
      <w:pPr>
        <w:pStyle w:val="Heading1"/>
        <w:spacing w:before="140" w:after="60"/>
      </w:pPr>
      <w:r>
        <w:rPr>
          <w:rFonts w:ascii="Georgia" w:hAnsi="Georgia"/>
          <w:b/>
          <w:color w:val="B78A39"/>
          <w:sz w:val="30"/>
        </w:rPr>
        <w:t>Practice This Week</w:t>
      </w:r>
    </w:p>
    <w:p>
      <w:pPr>
        <w:pStyle w:val="ListBullet"/>
        <w:spacing w:after="30"/>
        <w:ind w:left="360"/>
      </w:pPr>
      <w:r>
        <w:rPr>
          <w:rFonts w:ascii="Aptos" w:hAnsi="Aptos"/>
          <w:color w:val="20312B"/>
          <w:sz w:val="20"/>
        </w:rPr>
        <w:t>Pray through Psalm 19 and thank God for specific gifts in creation.</w:t>
      </w:r>
    </w:p>
    <w:p>
      <w:pPr>
        <w:pStyle w:val="ListBullet"/>
        <w:spacing w:after="30"/>
        <w:ind w:left="360"/>
      </w:pPr>
      <w:r>
        <w:rPr>
          <w:rFonts w:ascii="Aptos" w:hAnsi="Aptos"/>
          <w:color w:val="20312B"/>
          <w:sz w:val="20"/>
        </w:rPr>
        <w:t>Meditate on Romans 8:32 and give thanks for the gift of Christ.</w:t>
      </w:r>
    </w:p>
    <w:p>
      <w:pPr>
        <w:pStyle w:val="ListBullet"/>
        <w:spacing w:after="30"/>
        <w:ind w:left="360"/>
      </w:pPr>
      <w:r>
        <w:rPr>
          <w:rFonts w:ascii="Aptos" w:hAnsi="Aptos"/>
          <w:color w:val="20312B"/>
          <w:sz w:val="20"/>
        </w:rPr>
        <w:t>Sing the refrain slowly as a personal prayer of praise.</w:t>
      </w:r>
    </w:p>
    <w:p>
      <w:pPr>
        <w:pStyle w:val="ListBullet"/>
        <w:spacing w:after="30"/>
        <w:ind w:left="360"/>
      </w:pPr>
      <w:r>
        <w:rPr>
          <w:rFonts w:ascii="Aptos" w:hAnsi="Aptos"/>
          <w:color w:val="20312B"/>
          <w:sz w:val="20"/>
        </w:rPr>
        <w:t>Encourage one person by reminding them of God's greatness and nearness.</w:t>
      </w:r>
    </w:p>
    <w:p>
      <w:pPr>
        <w:pStyle w:val="ListBullet"/>
        <w:spacing w:after="30"/>
        <w:ind w:left="360"/>
      </w:pPr>
      <w:r>
        <w:rPr>
          <w:rFonts w:ascii="Aptos" w:hAnsi="Aptos"/>
          <w:color w:val="20312B"/>
          <w:sz w:val="20"/>
        </w:rPr>
        <w:t>When you notice beauty, pause and turn that moment into worship.</w:t>
      </w:r>
    </w:p>
    <w:p>
      <w:pPr>
        <w:pStyle w:val="Heading1"/>
        <w:spacing w:before="140" w:after="60"/>
      </w:pPr>
      <w:r>
        <w:rPr>
          <w:rFonts w:ascii="Georgia" w:hAnsi="Georgia"/>
          <w:b/>
          <w:color w:val="B78A39"/>
          <w:sz w:val="30"/>
        </w:rPr>
        <w:t>Optional Leader Notes</w:t>
      </w:r>
    </w:p>
    <w:p>
      <w:pPr>
        <w:spacing w:after="60" w:line="252" w:lineRule="auto"/>
      </w:pPr>
      <w:r>
        <w:rPr>
          <w:rFonts w:ascii="Aptos" w:hAnsi="Aptos"/>
          <w:color w:val="20312B"/>
          <w:sz w:val="20"/>
        </w:rPr>
        <w:t>Guide the group from observation to Scripture and then to response. Avoid letting the discussion stop at scenery or personal nostalgia. The hymn's movement is central: creation awakens awe, the cross deepens wonder, and Christ's return strengthens hope.</w:t>
      </w:r>
    </w:p>
    <w:p>
      <w:pPr>
        <w:pStyle w:val="Heading1"/>
        <w:spacing w:before="140" w:after="60"/>
      </w:pPr>
      <w:r>
        <w:rPr>
          <w:rFonts w:ascii="Georgia" w:hAnsi="Georgia"/>
          <w:b/>
          <w:color w:val="B78A39"/>
          <w:sz w:val="30"/>
        </w:rPr>
        <w:t>Closing Prayer</w:t>
      </w:r>
    </w:p>
    <w:p>
      <w:pPr>
        <w:spacing w:after="60" w:line="252" w:lineRule="auto"/>
      </w:pPr>
      <w:r>
        <w:rPr>
          <w:rFonts w:ascii="Aptos" w:hAnsi="Aptos"/>
          <w:color w:val="20312B"/>
          <w:sz w:val="20"/>
        </w:rPr>
        <w:t>Lord God, teach us to see your glory in creation, your mercy in Christ, and your promise in the hope of his return. Let our souls answer with sincere worship and faithful obedience. Amen.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705F45"/>
        <w:sz w:val="17"/>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0312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20312B"/>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20312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20312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20312B"/>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ptos" w:hAnsi="Aptos"/>
      <w:color w:val="20312B"/>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armNote">
    <w:name w:val="Warm Note"/>
    <w:rPr>
      <w:rFonts w:ascii="Aptos" w:hAnsi="Aptos"/>
      <w:color w:val="5D6B62"/>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