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3D4E3D"/>
          <w:sz w:val="44"/>
        </w:rPr>
        <w:t>Be Thou My Vision</w:t>
      </w:r>
    </w:p>
    <w:p>
      <w:pPr>
        <w:jc w:val="center"/>
      </w:pPr>
      <w:r>
        <w:rPr>
          <w:rFonts w:ascii="Aptos" w:hAnsi="Aptos"/>
          <w:i/>
          <w:color w:val="6E5D43"/>
          <w:sz w:val="22"/>
        </w:rPr>
        <w:t>Small Group Hymn Study</w:t>
      </w:r>
    </w:p>
    <w:p>
      <w:pPr>
        <w:spacing w:after="80"/>
      </w:pPr>
      <w:r>
        <w:rPr>
          <w:rFonts w:ascii="Aptos" w:hAnsi="Aptos"/>
          <w:b w:val="0"/>
          <w:i w:val="0"/>
          <w:color w:val="2D2D2D"/>
          <w:sz w:val="21"/>
        </w:rPr>
        <w:t>Purpose: This study helps a group pray through the hymn as a call to let God become the heart’s vision, wisdom, treasure, protection, and final hope.</w:t>
      </w:r>
    </w:p>
    <w:p>
      <w:pPr>
        <w:pStyle w:val="Heading1"/>
      </w:pPr>
      <w:r>
        <w:rPr>
          <w:rFonts w:ascii="Georgia" w:hAnsi="Georgia"/>
          <w:color w:val="444C3F"/>
        </w:rPr>
        <w:t>Opening Reflection</w:t>
      </w:r>
    </w:p>
    <w:p>
      <w:pPr>
        <w:pStyle w:val="ListBullet"/>
        <w:spacing w:after="40"/>
        <w:ind w:left="288" w:hanging="173"/>
      </w:pPr>
      <w:r>
        <w:rPr>
          <w:rFonts w:ascii="Aptos" w:hAnsi="Aptos"/>
          <w:sz w:val="20"/>
        </w:rPr>
        <w:t>When your mind is crowded or distracted, what usually captures your attention first?</w:t>
      </w:r>
    </w:p>
    <w:p>
      <w:pPr>
        <w:pStyle w:val="ListBullet"/>
        <w:spacing w:after="40"/>
        <w:ind w:left="288" w:hanging="173"/>
      </w:pPr>
      <w:r>
        <w:rPr>
          <w:rFonts w:ascii="Aptos" w:hAnsi="Aptos"/>
          <w:sz w:val="20"/>
        </w:rPr>
        <w:t>What does it mean to want God himself more than the gifts God gives?</w:t>
      </w:r>
    </w:p>
    <w:p>
      <w:pPr>
        <w:pStyle w:val="ListBullet"/>
        <w:spacing w:after="40"/>
        <w:ind w:left="288" w:hanging="173"/>
      </w:pPr>
      <w:r>
        <w:rPr>
          <w:rFonts w:ascii="Aptos" w:hAnsi="Aptos"/>
          <w:sz w:val="20"/>
        </w:rPr>
        <w:t>Which words best describe your need today: wisdom, courage, contentment, or hope?</w:t>
      </w:r>
    </w:p>
    <w:p>
      <w:pPr>
        <w:pStyle w:val="Heading1"/>
      </w:pPr>
      <w:r>
        <w:rPr>
          <w:rFonts w:ascii="Georgia" w:hAnsi="Georgia"/>
          <w:color w:val="444C3F"/>
        </w:rPr>
        <w:t>Brief Hymn Background</w:t>
      </w:r>
    </w:p>
    <w:p>
      <w:pPr>
        <w:spacing w:after="80"/>
      </w:pPr>
      <w:r>
        <w:rPr>
          <w:rFonts w:ascii="Aptos" w:hAnsi="Aptos"/>
          <w:b w:val="0"/>
          <w:i w:val="0"/>
          <w:color w:val="2D2D2D"/>
          <w:sz w:val="20"/>
        </w:rPr>
        <w:t>Be Thou My Vision is based on an Irish prayer known as Rop tú mo baile. The prayer has often been associated with Dallán Forgaill, though that attribution should be handled cautiously. The familiar English hymn began with Mary Elizabeth Byrne’s 1905 prose translation and Eleanor Henrietta Hull’s 1912 metrical version. It became widely established after its pairing with the traditional Irish tune SLANE in the 1919 Church Hymnal of the Church of Ireland.</w:t>
      </w:r>
    </w:p>
    <w:p>
      <w:pPr>
        <w:spacing w:after="80"/>
      </w:pPr>
      <w:r>
        <w:rPr>
          <w:rFonts w:ascii="Aptos" w:hAnsi="Aptos"/>
          <w:b w:val="0"/>
          <w:i w:val="0"/>
          <w:color w:val="2D2D2D"/>
          <w:sz w:val="20"/>
        </w:rPr>
        <w:t>Tune: SLANE, a traditional Irish melody named for Slane in County Meath. Meter is commonly given as 10.10.10.10, with variations in printed hymnals.</w:t>
      </w:r>
    </w:p>
    <w:p>
      <w:pPr>
        <w:pStyle w:val="Heading1"/>
      </w:pPr>
      <w:r>
        <w:rPr>
          <w:rFonts w:ascii="Georgia" w:hAnsi="Georgia"/>
          <w:color w:val="444C3F"/>
        </w:rPr>
        <w:t>Primary Scripture and Supporting Passages</w:t>
      </w:r>
    </w:p>
    <w:p>
      <w:pPr>
        <w:spacing w:after="80"/>
      </w:pPr>
      <w:r>
        <w:rPr>
          <w:rFonts w:ascii="Aptos" w:hAnsi="Aptos"/>
          <w:b w:val="0"/>
          <w:i w:val="0"/>
          <w:color w:val="2D2D2D"/>
          <w:sz w:val="20"/>
        </w:rPr>
        <w:t>Primary Scripture: Psalm 73:25-26 - God is the believer’s desire, strength, and portion. Supporting passages: Colossians 3:1-2; Philippians 3:7-8; 1 Corinthians 1:30-31; Matthew 6:21; Ephesians 6:16-17.</w:t>
      </w:r>
    </w:p>
    <w:p>
      <w:pPr>
        <w:pStyle w:val="Heading1"/>
      </w:pPr>
      <w:r>
        <w:rPr>
          <w:rFonts w:ascii="Georgia" w:hAnsi="Georgia"/>
          <w:color w:val="444C3F"/>
        </w:rPr>
        <w:t>Stanza-by-Stanza Study</w:t>
      </w:r>
    </w:p>
    <w:p>
      <w:pPr>
        <w:spacing w:after="80"/>
      </w:pPr>
      <w:r>
        <w:rPr>
          <w:rFonts w:ascii="Aptos" w:hAnsi="Aptos"/>
          <w:b w:val="0"/>
          <w:i w:val="0"/>
          <w:color w:val="2D2D2D"/>
          <w:sz w:val="20"/>
        </w:rPr>
        <w:t>Vision of the heart: The hymn begins by asking God to become the central focus of the believer’s attention and affection. This connects closely to Psalm 73, where God is treasured above heaven and earth.</w:t>
      </w:r>
    </w:p>
    <w:p>
      <w:pPr>
        <w:spacing w:after="80"/>
      </w:pPr>
      <w:r>
        <w:rPr>
          <w:rFonts w:ascii="Aptos" w:hAnsi="Aptos"/>
          <w:b w:val="0"/>
          <w:i w:val="0"/>
          <w:color w:val="2D2D2D"/>
          <w:sz w:val="20"/>
        </w:rPr>
        <w:t>Wisdom and Word: The next movement seeks God as wisdom and true Word. Christ is not merely an adviser; he is wisdom from God and the one who forms the believer’s mind and speech.</w:t>
      </w:r>
    </w:p>
    <w:p>
      <w:pPr>
        <w:spacing w:after="80"/>
      </w:pPr>
      <w:r>
        <w:rPr>
          <w:rFonts w:ascii="Aptos" w:hAnsi="Aptos"/>
          <w:b w:val="0"/>
          <w:i w:val="0"/>
          <w:color w:val="2D2D2D"/>
          <w:sz w:val="20"/>
        </w:rPr>
        <w:t>Treasure and inheritance: The hymn renounces the power of wealth and empty praise by confessing God as the heart’s true inheritance. Matthew 6:21 helps the group ask what the heart is really treasuring.</w:t>
      </w:r>
    </w:p>
    <w:p>
      <w:pPr>
        <w:spacing w:after="80"/>
      </w:pPr>
      <w:r>
        <w:rPr>
          <w:rFonts w:ascii="Aptos" w:hAnsi="Aptos"/>
          <w:b w:val="0"/>
          <w:i w:val="0"/>
          <w:color w:val="2D2D2D"/>
          <w:sz w:val="20"/>
        </w:rPr>
        <w:t>Hope under the High King: The final movement turns toward heavenly joy and victory. The prayer asks that God remain the heart’s vision whatever may happen.</w:t>
      </w:r>
    </w:p>
    <w:p>
      <w:r>
        <w:br w:type="page"/>
      </w:r>
    </w:p>
    <w:p>
      <w:pPr>
        <w:pStyle w:val="Heading1"/>
      </w:pPr>
      <w:r>
        <w:rPr>
          <w:rFonts w:ascii="Georgia" w:hAnsi="Georgia"/>
          <w:color w:val="444C3F"/>
        </w:rP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D9E2D2"/>
            <w:vAlign w:val="center"/>
          </w:tcPr>
          <w:p>
            <w:r/>
            <w:r>
              <w:rPr>
                <w:rFonts w:ascii="Aptos" w:hAnsi="Aptos"/>
                <w:b/>
                <w:color w:val="26392F"/>
                <w:sz w:val="19"/>
              </w:rPr>
              <w:t>Hymn Theme</w:t>
            </w:r>
          </w:p>
        </w:tc>
        <w:tc>
          <w:tcPr>
            <w:tcW w:type="dxa" w:w="3485"/>
            <w:shd w:fill="D9E2D2"/>
            <w:vAlign w:val="center"/>
          </w:tcPr>
          <w:p>
            <w:r/>
            <w:r>
              <w:rPr>
                <w:rFonts w:ascii="Aptos" w:hAnsi="Aptos"/>
                <w:b/>
                <w:color w:val="26392F"/>
                <w:sz w:val="19"/>
              </w:rPr>
              <w:t>Scripture Connection</w:t>
            </w:r>
          </w:p>
        </w:tc>
        <w:tc>
          <w:tcPr>
            <w:tcW w:type="dxa" w:w="3485"/>
            <w:shd w:fill="D9E2D2"/>
            <w:vAlign w:val="center"/>
          </w:tcPr>
          <w:p>
            <w:r/>
            <w:r>
              <w:rPr>
                <w:rFonts w:ascii="Aptos" w:hAnsi="Aptos"/>
                <w:b/>
                <w:color w:val="26392F"/>
                <w:sz w:val="19"/>
              </w:rPr>
              <w:t>Discussion Prompt</w:t>
            </w:r>
          </w:p>
        </w:tc>
      </w:tr>
      <w:tr>
        <w:tc>
          <w:tcPr>
            <w:tcW w:type="dxa" w:w="3485"/>
            <w:vAlign w:val="center"/>
          </w:tcPr>
          <w:p>
            <w:r/>
            <w:r>
              <w:rPr>
                <w:rFonts w:ascii="Aptos" w:hAnsi="Aptos"/>
                <w:b w:val="0"/>
                <w:color w:val="333333"/>
                <w:sz w:val="17"/>
              </w:rPr>
              <w:t>Vision</w:t>
            </w:r>
          </w:p>
        </w:tc>
        <w:tc>
          <w:tcPr>
            <w:tcW w:type="dxa" w:w="3485"/>
            <w:vAlign w:val="center"/>
          </w:tcPr>
          <w:p>
            <w:r/>
            <w:r>
              <w:rPr>
                <w:rFonts w:ascii="Aptos" w:hAnsi="Aptos"/>
                <w:b w:val="0"/>
                <w:color w:val="333333"/>
                <w:sz w:val="17"/>
              </w:rPr>
              <w:t>Psalm 73:25-26</w:t>
            </w:r>
          </w:p>
        </w:tc>
        <w:tc>
          <w:tcPr>
            <w:tcW w:type="dxa" w:w="3485"/>
            <w:vAlign w:val="center"/>
          </w:tcPr>
          <w:p>
            <w:r/>
            <w:r>
              <w:rPr>
                <w:rFonts w:ascii="Aptos" w:hAnsi="Aptos"/>
                <w:b w:val="0"/>
                <w:color w:val="333333"/>
                <w:sz w:val="17"/>
              </w:rPr>
              <w:t>What competes for the heart’s attention?</w:t>
            </w:r>
          </w:p>
        </w:tc>
      </w:tr>
      <w:tr>
        <w:tc>
          <w:tcPr>
            <w:tcW w:type="dxa" w:w="3485"/>
            <w:vAlign w:val="center"/>
          </w:tcPr>
          <w:p>
            <w:r/>
            <w:r>
              <w:rPr>
                <w:rFonts w:ascii="Aptos" w:hAnsi="Aptos"/>
                <w:b w:val="0"/>
                <w:color w:val="333333"/>
                <w:sz w:val="17"/>
              </w:rPr>
              <w:t>Wisdom</w:t>
            </w:r>
          </w:p>
        </w:tc>
        <w:tc>
          <w:tcPr>
            <w:tcW w:type="dxa" w:w="3485"/>
            <w:vAlign w:val="center"/>
          </w:tcPr>
          <w:p>
            <w:r/>
            <w:r>
              <w:rPr>
                <w:rFonts w:ascii="Aptos" w:hAnsi="Aptos"/>
                <w:b w:val="0"/>
                <w:color w:val="333333"/>
                <w:sz w:val="17"/>
              </w:rPr>
              <w:t>1 Corinthians 1:30</w:t>
            </w:r>
          </w:p>
        </w:tc>
        <w:tc>
          <w:tcPr>
            <w:tcW w:type="dxa" w:w="3485"/>
            <w:vAlign w:val="center"/>
          </w:tcPr>
          <w:p>
            <w:r/>
            <w:r>
              <w:rPr>
                <w:rFonts w:ascii="Aptos" w:hAnsi="Aptos"/>
                <w:b w:val="0"/>
                <w:color w:val="333333"/>
                <w:sz w:val="17"/>
              </w:rPr>
              <w:t>How does Christ shape discernment?</w:t>
            </w:r>
          </w:p>
        </w:tc>
      </w:tr>
      <w:tr>
        <w:tc>
          <w:tcPr>
            <w:tcW w:type="dxa" w:w="3485"/>
            <w:vAlign w:val="center"/>
          </w:tcPr>
          <w:p>
            <w:r/>
            <w:r>
              <w:rPr>
                <w:rFonts w:ascii="Aptos" w:hAnsi="Aptos"/>
                <w:b w:val="0"/>
                <w:color w:val="333333"/>
                <w:sz w:val="17"/>
              </w:rPr>
              <w:t>Treasure</w:t>
            </w:r>
          </w:p>
        </w:tc>
        <w:tc>
          <w:tcPr>
            <w:tcW w:type="dxa" w:w="3485"/>
            <w:vAlign w:val="center"/>
          </w:tcPr>
          <w:p>
            <w:r/>
            <w:r>
              <w:rPr>
                <w:rFonts w:ascii="Aptos" w:hAnsi="Aptos"/>
                <w:b w:val="0"/>
                <w:color w:val="333333"/>
                <w:sz w:val="17"/>
              </w:rPr>
              <w:t>Matthew 6:21; Philippians 3:7-8</w:t>
            </w:r>
          </w:p>
        </w:tc>
        <w:tc>
          <w:tcPr>
            <w:tcW w:type="dxa" w:w="3485"/>
            <w:vAlign w:val="center"/>
          </w:tcPr>
          <w:p>
            <w:r/>
            <w:r>
              <w:rPr>
                <w:rFonts w:ascii="Aptos" w:hAnsi="Aptos"/>
                <w:b w:val="0"/>
                <w:color w:val="333333"/>
                <w:sz w:val="17"/>
              </w:rPr>
              <w:t>What lesser gain needs to be surrendered?</w:t>
            </w:r>
          </w:p>
        </w:tc>
      </w:tr>
      <w:tr>
        <w:tc>
          <w:tcPr>
            <w:tcW w:type="dxa" w:w="3485"/>
            <w:vAlign w:val="center"/>
          </w:tcPr>
          <w:p>
            <w:r/>
            <w:r>
              <w:rPr>
                <w:rFonts w:ascii="Aptos" w:hAnsi="Aptos"/>
                <w:b w:val="0"/>
                <w:color w:val="333333"/>
                <w:sz w:val="17"/>
              </w:rPr>
              <w:t>Heavenly hope</w:t>
            </w:r>
          </w:p>
        </w:tc>
        <w:tc>
          <w:tcPr>
            <w:tcW w:type="dxa" w:w="3485"/>
            <w:vAlign w:val="center"/>
          </w:tcPr>
          <w:p>
            <w:r/>
            <w:r>
              <w:rPr>
                <w:rFonts w:ascii="Aptos" w:hAnsi="Aptos"/>
                <w:b w:val="0"/>
                <w:color w:val="333333"/>
                <w:sz w:val="17"/>
              </w:rPr>
              <w:t>Colossians 3:1-2</w:t>
            </w:r>
          </w:p>
        </w:tc>
        <w:tc>
          <w:tcPr>
            <w:tcW w:type="dxa" w:w="3485"/>
            <w:vAlign w:val="center"/>
          </w:tcPr>
          <w:p>
            <w:r/>
            <w:r>
              <w:rPr>
                <w:rFonts w:ascii="Aptos" w:hAnsi="Aptos"/>
                <w:b w:val="0"/>
                <w:color w:val="333333"/>
                <w:sz w:val="17"/>
              </w:rPr>
              <w:t>How does future hope change present obedience?</w:t>
            </w:r>
          </w:p>
        </w:tc>
      </w:tr>
      <w:tr>
        <w:tc>
          <w:tcPr>
            <w:tcW w:type="dxa" w:w="3485"/>
            <w:vAlign w:val="center"/>
          </w:tcPr>
          <w:p>
            <w:r/>
            <w:r>
              <w:rPr>
                <w:rFonts w:ascii="Aptos" w:hAnsi="Aptos"/>
                <w:b w:val="0"/>
                <w:color w:val="333333"/>
                <w:sz w:val="17"/>
              </w:rPr>
              <w:t>Protection</w:t>
            </w:r>
          </w:p>
        </w:tc>
        <w:tc>
          <w:tcPr>
            <w:tcW w:type="dxa" w:w="3485"/>
            <w:vAlign w:val="center"/>
          </w:tcPr>
          <w:p>
            <w:r/>
            <w:r>
              <w:rPr>
                <w:rFonts w:ascii="Aptos" w:hAnsi="Aptos"/>
                <w:b w:val="0"/>
                <w:color w:val="333333"/>
                <w:sz w:val="17"/>
              </w:rPr>
              <w:t>Ephesians 6:16-17</w:t>
            </w:r>
          </w:p>
        </w:tc>
        <w:tc>
          <w:tcPr>
            <w:tcW w:type="dxa" w:w="3485"/>
            <w:vAlign w:val="center"/>
          </w:tcPr>
          <w:p>
            <w:r/>
            <w:r>
              <w:rPr>
                <w:rFonts w:ascii="Aptos" w:hAnsi="Aptos"/>
                <w:b w:val="0"/>
                <w:color w:val="333333"/>
                <w:sz w:val="17"/>
              </w:rPr>
              <w:t>Where do you need courage and faith?</w:t>
            </w:r>
          </w:p>
        </w:tc>
      </w:tr>
    </w:tbl>
    <w:p>
      <w:pPr>
        <w:pStyle w:val="Heading1"/>
      </w:pPr>
      <w:r>
        <w:rPr>
          <w:rFonts w:ascii="Georgia" w:hAnsi="Georgia"/>
          <w:color w:val="444C3F"/>
        </w:rPr>
        <w:t>Discussion Questions</w:t>
      </w:r>
    </w:p>
    <w:p>
      <w:pPr>
        <w:pStyle w:val="ListBullet"/>
        <w:spacing w:after="40"/>
        <w:ind w:left="288" w:hanging="173"/>
      </w:pPr>
      <w:r>
        <w:rPr>
          <w:rFonts w:ascii="Aptos" w:hAnsi="Aptos"/>
          <w:sz w:val="19"/>
        </w:rPr>
        <w:t>What does the word “vision” suggest beyond physical sight?</w:t>
      </w:r>
    </w:p>
    <w:p>
      <w:pPr>
        <w:pStyle w:val="ListBullet"/>
        <w:spacing w:after="40"/>
        <w:ind w:left="288" w:hanging="173"/>
      </w:pPr>
      <w:r>
        <w:rPr>
          <w:rFonts w:ascii="Aptos" w:hAnsi="Aptos"/>
          <w:sz w:val="19"/>
        </w:rPr>
        <w:t>How does the hymn challenge the way we define success, reputation, and security?</w:t>
      </w:r>
    </w:p>
    <w:p>
      <w:pPr>
        <w:pStyle w:val="ListBullet"/>
        <w:spacing w:after="40"/>
        <w:ind w:left="288" w:hanging="173"/>
      </w:pPr>
      <w:r>
        <w:rPr>
          <w:rFonts w:ascii="Aptos" w:hAnsi="Aptos"/>
          <w:sz w:val="19"/>
        </w:rPr>
        <w:t>Which biblical passage best clarifies the hymn for you, and why?</w:t>
      </w:r>
    </w:p>
    <w:p>
      <w:pPr>
        <w:pStyle w:val="ListBullet"/>
        <w:spacing w:after="40"/>
        <w:ind w:left="288" w:hanging="173"/>
      </w:pPr>
      <w:r>
        <w:rPr>
          <w:rFonts w:ascii="Aptos" w:hAnsi="Aptos"/>
          <w:sz w:val="19"/>
        </w:rPr>
        <w:t>How does the hymn connect worship with everyday decision-making?</w:t>
      </w:r>
    </w:p>
    <w:p>
      <w:pPr>
        <w:pStyle w:val="ListBullet"/>
        <w:spacing w:after="40"/>
        <w:ind w:left="288" w:hanging="173"/>
      </w:pPr>
      <w:r>
        <w:rPr>
          <w:rFonts w:ascii="Aptos" w:hAnsi="Aptos"/>
          <w:sz w:val="19"/>
        </w:rPr>
        <w:t>What does it mean to receive Christ as wisdom rather than simply asking for advice?</w:t>
      </w:r>
    </w:p>
    <w:p>
      <w:pPr>
        <w:pStyle w:val="ListBullet"/>
        <w:spacing w:after="40"/>
        <w:ind w:left="288" w:hanging="173"/>
      </w:pPr>
      <w:r>
        <w:rPr>
          <w:rFonts w:ascii="Aptos" w:hAnsi="Aptos"/>
          <w:sz w:val="19"/>
        </w:rPr>
        <w:t>Where does your group or congregation need a more God-centered vision?</w:t>
      </w:r>
    </w:p>
    <w:p>
      <w:pPr>
        <w:pStyle w:val="ListBullet"/>
        <w:spacing w:after="40"/>
        <w:ind w:left="288" w:hanging="173"/>
      </w:pPr>
      <w:r>
        <w:rPr>
          <w:rFonts w:ascii="Aptos" w:hAnsi="Aptos"/>
          <w:sz w:val="19"/>
        </w:rPr>
        <w:t>How can this hymn become a prayer during temptation, grief, or uncertainty?</w:t>
      </w:r>
    </w:p>
    <w:p>
      <w:pPr>
        <w:pStyle w:val="Heading1"/>
      </w:pPr>
      <w:r>
        <w:rPr>
          <w:rFonts w:ascii="Georgia" w:hAnsi="Georgia"/>
          <w:color w:val="444C3F"/>
        </w:rPr>
        <w:t>Practice This Week</w:t>
      </w:r>
    </w:p>
    <w:p>
      <w:pPr>
        <w:pStyle w:val="ListBullet"/>
        <w:spacing w:after="40"/>
        <w:ind w:left="288" w:hanging="173"/>
      </w:pPr>
      <w:r>
        <w:rPr>
          <w:rFonts w:ascii="Aptos" w:hAnsi="Aptos"/>
          <w:sz w:val="19"/>
        </w:rPr>
        <w:t>Pray Psalm 73:25-26 each morning.</w:t>
      </w:r>
    </w:p>
    <w:p>
      <w:pPr>
        <w:pStyle w:val="ListBullet"/>
        <w:spacing w:after="40"/>
        <w:ind w:left="288" w:hanging="173"/>
      </w:pPr>
      <w:r>
        <w:rPr>
          <w:rFonts w:ascii="Aptos" w:hAnsi="Aptos"/>
          <w:sz w:val="19"/>
        </w:rPr>
        <w:t>Before one important decision, ask: “What vision is guiding me here?”</w:t>
      </w:r>
    </w:p>
    <w:p>
      <w:pPr>
        <w:pStyle w:val="ListBullet"/>
        <w:spacing w:after="40"/>
        <w:ind w:left="288" w:hanging="173"/>
      </w:pPr>
      <w:r>
        <w:rPr>
          <w:rFonts w:ascii="Aptos" w:hAnsi="Aptos"/>
          <w:sz w:val="19"/>
        </w:rPr>
        <w:t>Write down one lesser treasure that competes with Christ and surrender it in prayer.</w:t>
      </w:r>
    </w:p>
    <w:p>
      <w:pPr>
        <w:pStyle w:val="ListBullet"/>
        <w:spacing w:after="40"/>
        <w:ind w:left="288" w:hanging="173"/>
      </w:pPr>
      <w:r>
        <w:rPr>
          <w:rFonts w:ascii="Aptos" w:hAnsi="Aptos"/>
          <w:sz w:val="19"/>
        </w:rPr>
        <w:t>Encourage one person by reminding them of God’s wisdom, presence, or hope.</w:t>
      </w:r>
    </w:p>
    <w:p>
      <w:pPr>
        <w:pStyle w:val="Heading1"/>
      </w:pPr>
      <w:r>
        <w:rPr>
          <w:rFonts w:ascii="Georgia" w:hAnsi="Georgia"/>
          <w:color w:val="444C3F"/>
        </w:rPr>
        <w:t>Optional Leader Notes</w:t>
      </w:r>
    </w:p>
    <w:p>
      <w:pPr>
        <w:spacing w:after="80"/>
      </w:pPr>
      <w:r>
        <w:rPr>
          <w:rFonts w:ascii="Aptos" w:hAnsi="Aptos"/>
          <w:b w:val="0"/>
          <w:i w:val="0"/>
          <w:color w:val="2D2D2D"/>
          <w:sz w:val="19"/>
        </w:rPr>
        <w:t>Keep the discussion anchored in Scripture rather than only personal preference. Emphasize that the hymn is not asking for vague inspiration; it is a prayer for the whole life to be ordered toward God. If the group knows the tune, consider singing one stanza or reading the first line aloud as a prayerful opening.</w:t>
      </w:r>
    </w:p>
    <w:p>
      <w:pPr>
        <w:pStyle w:val="Heading1"/>
      </w:pPr>
      <w:r>
        <w:rPr>
          <w:rFonts w:ascii="Georgia" w:hAnsi="Georgia"/>
          <w:color w:val="444C3F"/>
        </w:rPr>
        <w:t>Closing Prayer</w:t>
      </w:r>
    </w:p>
    <w:p>
      <w:pPr>
        <w:spacing w:after="80"/>
      </w:pPr>
      <w:r>
        <w:rPr>
          <w:rFonts w:ascii="Aptos" w:hAnsi="Aptos"/>
          <w:b w:val="0"/>
          <w:i/>
          <w:color w:val="2D2D2D"/>
          <w:sz w:val="20"/>
        </w:rPr>
        <w:t>Lord, become the vision of our hearts. Reorder our desires, teach us your wisdom, free us from lesser treasures, and keep our hope fixed on Christ and his kingdom. Amen.</w:t>
      </w:r>
    </w:p>
    <w:p>
      <w:pPr>
        <w:spacing w:after="80"/>
      </w:pPr>
      <w:r>
        <w:rPr>
          <w:rFonts w:ascii="Aptos" w:hAnsi="Aptos"/>
          <w:b w:val="0"/>
          <w:i w:val="0"/>
          <w:color w:val="2D2D2D"/>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20"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7"/>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Thou My Vision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