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629400" cy="3729037"/>
            <wp:docPr id="1" name="Picture 1"/>
            <wp:cNvGraphicFramePr>
              <a:graphicFrameLocks noChangeAspect="1"/>
            </wp:cNvGraphicFramePr>
            <a:graphic>
              <a:graphicData uri="http://schemas.openxmlformats.org/drawingml/2006/picture">
                <pic:pic>
                  <pic:nvPicPr>
                    <pic:cNvPr id="0" name="sea_16x9.jpg"/>
                    <pic:cNvPicPr/>
                  </pic:nvPicPr>
                  <pic:blipFill>
                    <a:blip r:embed="rId10"/>
                    <a:stretch>
                      <a:fillRect/>
                    </a:stretch>
                  </pic:blipFill>
                  <pic:spPr>
                    <a:xfrm>
                      <a:off x="0" y="0"/>
                      <a:ext cx="6629400" cy="3729037"/>
                    </a:xfrm>
                    <a:prstGeom prst="rect"/>
                  </pic:spPr>
                </pic:pic>
              </a:graphicData>
            </a:graphic>
          </wp:inline>
        </w:drawing>
      </w:r>
    </w:p>
    <w:p>
      <w:pPr>
        <w:jc w:val="center"/>
      </w:pPr>
      <w:r>
        <w:rPr>
          <w:rFonts w:ascii="Aptos Display" w:hAnsi="Aptos Display"/>
          <w:b/>
          <w:color w:val="1B2A41"/>
          <w:sz w:val="44"/>
        </w:rPr>
        <w:t>Sermon Outline: “Here I Am, Lord”</w:t>
      </w:r>
    </w:p>
    <w:p>
      <w:pPr>
        <w:jc w:val="center"/>
      </w:pPr>
      <w:r>
        <w:rPr>
          <w:i/>
          <w:color w:val="6D5A3E"/>
          <w:sz w:val="21"/>
        </w:rPr>
        <w:t>The call of a compassionate God and the answer of a willing servant</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Primary Text</w:t>
            </w:r>
          </w:p>
        </w:tc>
        <w:tc>
          <w:tcPr>
            <w:tcW w:type="dxa" w:w="5184"/>
            <w:vAlign w:val="center"/>
            <w:tcBorders>
              <w:top w:sz="4" w:val="single" w:color="D9C79E"/>
              <w:left w:sz="4" w:val="single" w:color="D9C79E"/>
              <w:bottom w:sz="4" w:val="single" w:color="D9C79E"/>
              <w:right w:sz="4" w:val="single" w:color="D9C79E"/>
            </w:tcBorders>
          </w:tcPr>
          <w:p>
            <w:r>
              <w:rPr>
                <w:sz w:val="17"/>
              </w:rPr>
              <w:t>Isaiah 6:8</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Supporting Texts</w:t>
            </w:r>
          </w:p>
        </w:tc>
        <w:tc>
          <w:tcPr>
            <w:tcW w:type="dxa" w:w="5184"/>
            <w:vAlign w:val="center"/>
            <w:tcBorders>
              <w:top w:sz="4" w:val="single" w:color="D9C79E"/>
              <w:left w:sz="4" w:val="single" w:color="D9C79E"/>
              <w:bottom w:sz="4" w:val="single" w:color="D9C79E"/>
              <w:right w:sz="4" w:val="single" w:color="D9C79E"/>
            </w:tcBorders>
          </w:tcPr>
          <w:p>
            <w:r>
              <w:rPr>
                <w:sz w:val="17"/>
              </w:rPr>
              <w:t>1 Samuel 3:9-10; Exodus 3:7-10; Ezekiel 36:26-27; John 21:15-17</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Hymn Focus</w:t>
            </w:r>
          </w:p>
        </w:tc>
        <w:tc>
          <w:tcPr>
            <w:tcW w:type="dxa" w:w="5184"/>
            <w:vAlign w:val="center"/>
            <w:tcBorders>
              <w:top w:sz="4" w:val="single" w:color="D9C79E"/>
              <w:left w:sz="4" w:val="single" w:color="D9C79E"/>
              <w:bottom w:sz="4" w:val="single" w:color="D9C79E"/>
              <w:right w:sz="4" w:val="single" w:color="D9C79E"/>
            </w:tcBorders>
          </w:tcPr>
          <w:p>
            <w:r>
              <w:rPr>
                <w:sz w:val="17"/>
              </w:rPr>
              <w:t>God speaks in the stanzas; the congregation responds in the refrain.</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Sermon Purpose</w:t>
            </w:r>
          </w:p>
        </w:tc>
        <w:tc>
          <w:tcPr>
            <w:tcW w:type="dxa" w:w="5184"/>
            <w:vAlign w:val="center"/>
            <w:tcBorders>
              <w:top w:sz="4" w:val="single" w:color="D9C79E"/>
              <w:left w:sz="4" w:val="single" w:color="D9C79E"/>
              <w:bottom w:sz="4" w:val="single" w:color="D9C79E"/>
              <w:right w:sz="4" w:val="single" w:color="D9C79E"/>
            </w:tcBorders>
          </w:tcPr>
          <w:p>
            <w:r>
              <w:rPr>
                <w:sz w:val="17"/>
              </w:rPr>
              <w:t>To call the congregation to listen, discern, and respond to God’s compassionate mission.</w:t>
            </w:r>
          </w:p>
        </w:tc>
      </w:tr>
    </w:tbl>
    <w:p/>
    <w:p>
      <w:pPr>
        <w:pStyle w:val="Heading1"/>
        <w:spacing w:before="120" w:after="60"/>
      </w:pPr>
      <w:r>
        <w:t>Big idea</w:t>
      </w:r>
    </w:p>
    <w:p>
      <w:r>
        <w:t>God calls not because he lacks power, but because he invites his people to participate in his compassion. The faithful answer is humble availability: “Here I am; send me.”</w:t>
      </w:r>
    </w:p>
    <w:tbl>
      <w:tblPr>
        <w:tblW w:type="auto" w:w="0"/>
        <w:jc w:val="center"/>
        <w:tblLook w:firstColumn="1" w:firstRow="1" w:lastColumn="0" w:lastRow="0" w:noHBand="0" w:noVBand="1" w:val="04A0"/>
      </w:tblPr>
      <w:tblGrid>
        <w:gridCol w:w="10368"/>
      </w:tblGrid>
      <w:tr>
        <w:tc>
          <w:tcPr>
            <w:tcW w:type="dxa" w:w="10368"/>
            <w:shd w:fill="F8F1E4"/>
            <w:tcBorders>
              <w:top w:sz="8" w:val="single" w:color="E9B44C"/>
              <w:left w:sz="8" w:val="single" w:color="E9B44C"/>
              <w:bottom w:sz="8" w:val="single" w:color="E9B44C"/>
              <w:right w:sz="8" w:val="single" w:color="E9B44C"/>
            </w:tcBorders>
          </w:tcPr>
          <w:p>
            <w:r>
              <w:rPr>
                <w:i/>
                <w:color w:val="2D2A26"/>
                <w:sz w:val="20"/>
              </w:rPr>
              <w:t>“I heard the Lord’s voice, saying, “Whom shall I send, and who will go for us?” Then I said, “Here I am. Send me!””</w:t>
            </w:r>
          </w:p>
          <w:p>
            <w:r>
              <w:rPr>
                <w:b/>
                <w:color w:val="274C77"/>
                <w:sz w:val="17"/>
              </w:rPr>
              <w:t>Isaiah 6:8</w:t>
            </w:r>
          </w:p>
        </w:tc>
      </w:tr>
    </w:tbl>
    <w:p/>
    <w:p>
      <w:pPr>
        <w:pStyle w:val="Heading1"/>
        <w:spacing w:before="120" w:after="60"/>
      </w:pPr>
      <w:r>
        <w:t>Introduction</w:t>
      </w:r>
    </w:p>
    <w:p>
      <w:r>
        <w:t>“Here I Am, Lord” is not first a song about our strength. It is a song about God’s initiative. The Lord who created the sea, sky, wind, and flame also hears the cries of suffering people. Before we volunteer, God already sees. Before we serve, God already loves. Before we are sent, God already speaks.</w:t>
      </w:r>
    </w:p>
    <w:p>
      <w:pPr>
        <w:pStyle w:val="Heading1"/>
        <w:spacing w:before="120" w:after="60"/>
      </w:pPr>
      <w:r>
        <w:t>I. God hears the cry before we hear the call</w:t>
      </w:r>
    </w:p>
    <w:p>
      <w:pPr>
        <w:pStyle w:val="ListBullet"/>
        <w:spacing w:after="40"/>
      </w:pPr>
      <w:r>
        <w:rPr>
          <w:sz w:val="18"/>
        </w:rPr>
        <w:t>Exodus 3 reveals a God who has seen affliction, heard cries, and known sorrows.</w:t>
      </w:r>
    </w:p>
    <w:p>
      <w:pPr>
        <w:pStyle w:val="ListBullet"/>
        <w:spacing w:after="40"/>
      </w:pPr>
      <w:r>
        <w:rPr>
          <w:sz w:val="18"/>
        </w:rPr>
        <w:t>The hymn’s divine voice is compassionate: God notices darkness, pain, hardened hearts, the poor, and the hungry.</w:t>
      </w:r>
    </w:p>
    <w:p>
      <w:pPr>
        <w:pStyle w:val="ListBullet"/>
        <w:spacing w:after="40"/>
      </w:pPr>
      <w:r>
        <w:rPr>
          <w:sz w:val="18"/>
        </w:rPr>
        <w:t>Christian vocation begins with God’s compassion, not our ambition or institutional need.</w:t>
      </w:r>
    </w:p>
    <w:p>
      <w:pPr>
        <w:pStyle w:val="Heading2"/>
        <w:spacing w:before="120" w:after="60"/>
      </w:pPr>
      <w:r>
        <w:t>Preaching development</w:t>
      </w:r>
    </w:p>
    <w:p>
      <w:r>
        <w:t>Ask the congregation: What cries have we learned to ignore? The call of God often begins when we allow God to make us attentive again. The hymn forms the church to listen for God’s concern in the pain of real people.</w:t>
      </w:r>
    </w:p>
    <w:p>
      <w:pPr>
        <w:pStyle w:val="Heading1"/>
        <w:spacing w:before="120" w:after="60"/>
      </w:pPr>
      <w:r>
        <w:t>II. God calls listeners before he sends workers</w:t>
      </w:r>
    </w:p>
    <w:p>
      <w:pPr>
        <w:pStyle w:val="ListBullet"/>
        <w:spacing w:after="40"/>
      </w:pPr>
      <w:r>
        <w:rPr>
          <w:sz w:val="18"/>
        </w:rPr>
        <w:t>Samuel had to learn to say, “Speak; for your servant hears.”</w:t>
      </w:r>
    </w:p>
    <w:p>
      <w:pPr>
        <w:pStyle w:val="ListBullet"/>
        <w:spacing w:after="40"/>
      </w:pPr>
      <w:r>
        <w:rPr>
          <w:sz w:val="18"/>
        </w:rPr>
        <w:t>Isaiah’s answer comes after he has encountered the holiness and mercy of God.</w:t>
      </w:r>
    </w:p>
    <w:p>
      <w:pPr>
        <w:pStyle w:val="ListBullet"/>
        <w:spacing w:after="40"/>
      </w:pPr>
      <w:r>
        <w:rPr>
          <w:sz w:val="18"/>
        </w:rPr>
        <w:t>The refrain’s question, “Is it I, Lord?” is not uncertainty that refuses obedience; it is humility that seeks discernment.</w:t>
      </w:r>
    </w:p>
    <w:p>
      <w:pPr>
        <w:pStyle w:val="Heading2"/>
        <w:spacing w:before="120" w:after="60"/>
      </w:pPr>
      <w:r>
        <w:t>Illustration or application</w:t>
      </w:r>
    </w:p>
    <w:p>
      <w:r>
        <w:t>Many people rush into service without listening; others listen forever but never respond. Biblical vocation holds both together: a servant’s ear and a servant’s feet.</w:t>
      </w:r>
    </w:p>
    <w:p>
      <w:pPr>
        <w:pStyle w:val="Heading1"/>
        <w:spacing w:before="120" w:after="60"/>
      </w:pPr>
      <w:r>
        <w:t>III. God sends us with light, word, and bread</w:t>
      </w:r>
    </w:p>
    <w:p>
      <w:pPr>
        <w:pStyle w:val="ListBullet"/>
        <w:spacing w:after="40"/>
      </w:pPr>
      <w:r>
        <w:rPr>
          <w:sz w:val="18"/>
        </w:rPr>
        <w:t>Light: God sends his people into darkness, not to condemn the world but to bear hope.</w:t>
      </w:r>
    </w:p>
    <w:p>
      <w:pPr>
        <w:pStyle w:val="ListBullet"/>
        <w:spacing w:after="40"/>
      </w:pPr>
      <w:r>
        <w:rPr>
          <w:sz w:val="18"/>
        </w:rPr>
        <w:t>Word: God sends truth that can soften hard hearts and restore obedience.</w:t>
      </w:r>
    </w:p>
    <w:p>
      <w:pPr>
        <w:pStyle w:val="ListBullet"/>
        <w:spacing w:after="40"/>
      </w:pPr>
      <w:r>
        <w:rPr>
          <w:sz w:val="18"/>
        </w:rPr>
        <w:t>Bread: God sends care for the hungry, the poor, and those who need concrete mercy.</w:t>
      </w:r>
    </w:p>
    <w:p>
      <w:pPr>
        <w:pStyle w:val="ListBullet"/>
        <w:spacing w:after="40"/>
      </w:pPr>
      <w:r>
        <w:rPr>
          <w:sz w:val="18"/>
        </w:rPr>
        <w:t>John 21 shows that love for Christ becomes care for Christ’s flock.</w:t>
      </w:r>
    </w:p>
    <w:p>
      <w:pPr>
        <w:pStyle w:val="Heading2"/>
        <w:spacing w:before="120" w:after="60"/>
      </w:pPr>
      <w:r>
        <w:t>Preaching development</w:t>
      </w:r>
    </w:p>
    <w:p>
      <w:r>
        <w:t>The hymn does not allow spirituality to remain abstract. The response to God’s call must be embodied: visiting, feeding, teaching, encouraging, praying, repairing, reconciling, and witnessing.</w:t>
      </w:r>
    </w:p>
    <w:p>
      <w:pPr>
        <w:pStyle w:val="Heading1"/>
        <w:spacing w:before="120" w:after="60"/>
      </w:pPr>
      <w:r>
        <w:t>IV. The faithful answer is available, humble, and sustained</w:t>
      </w:r>
    </w:p>
    <w:p>
      <w:pPr>
        <w:pStyle w:val="ListBullet"/>
        <w:spacing w:after="40"/>
      </w:pPr>
      <w:r>
        <w:rPr>
          <w:sz w:val="18"/>
        </w:rPr>
        <w:t>Available: “Here I am” means the whole person is placed before God.</w:t>
      </w:r>
    </w:p>
    <w:p>
      <w:pPr>
        <w:pStyle w:val="ListBullet"/>
        <w:spacing w:after="40"/>
      </w:pPr>
      <w:r>
        <w:rPr>
          <w:sz w:val="18"/>
        </w:rPr>
        <w:t>Humble: “Is it I?” acknowledges that we need God’s confirmation, guidance, and grace.</w:t>
      </w:r>
    </w:p>
    <w:p>
      <w:pPr>
        <w:pStyle w:val="ListBullet"/>
        <w:spacing w:after="40"/>
      </w:pPr>
      <w:r>
        <w:rPr>
          <w:sz w:val="18"/>
        </w:rPr>
        <w:t>Sustained: holding God’s people in the heart means faithful love beyond a single emotional moment.</w:t>
      </w:r>
    </w:p>
    <w:p>
      <w:pPr>
        <w:pStyle w:val="Heading2"/>
        <w:spacing w:before="120" w:after="60"/>
      </w:pPr>
      <w:r>
        <w:t>Theological note</w:t>
      </w:r>
    </w:p>
    <w:p>
      <w:r>
        <w:t>Calling is not self-heroism. The Lord who sends is the Lord who equips. The servant does not carry the mission alone; the servant participates in God’s own compassionate action.</w:t>
      </w:r>
    </w:p>
    <w:p>
      <w:pPr>
        <w:pStyle w:val="Heading1"/>
        <w:spacing w:before="120" w:after="60"/>
      </w:pPr>
      <w:r>
        <w:t>Conclusion / Invitation</w:t>
      </w:r>
    </w:p>
    <w:p>
      <w:r>
        <w:t>Invite the congregation to respond in three movements: listen for God’s voice, notice the people God is placing before them, and offer one concrete act of obedient love. A commissioning prayer or sung refrain may follow, using authorized text and music.</w:t>
      </w:r>
    </w:p>
    <w:p>
      <w:pPr>
        <w:pStyle w:val="Heading1"/>
        <w:spacing w:before="120" w:after="60"/>
      </w:pPr>
      <w:r>
        <w:t>Pastoral and worship notes</w:t>
      </w:r>
    </w:p>
    <w:p>
      <w:pPr>
        <w:pStyle w:val="ListBullet"/>
        <w:spacing w:after="40"/>
      </w:pPr>
      <w:r>
        <w:rPr>
          <w:sz w:val="18"/>
        </w:rPr>
        <w:t>Because the hymn is structured as dialogue, consider having a soloist or choir sing the stanzas and the congregation sing the refrain.</w:t>
      </w:r>
    </w:p>
    <w:p>
      <w:pPr>
        <w:pStyle w:val="ListBullet"/>
        <w:spacing w:after="40"/>
      </w:pPr>
      <w:r>
        <w:rPr>
          <w:sz w:val="18"/>
        </w:rPr>
        <w:t>Avoid presenting the hymn as a celebration of human adequacy. Emphasize humble dependence on God.</w:t>
      </w:r>
    </w:p>
    <w:p>
      <w:pPr>
        <w:pStyle w:val="ListBullet"/>
        <w:spacing w:after="40"/>
      </w:pPr>
      <w:r>
        <w:rPr>
          <w:sz w:val="18"/>
        </w:rPr>
        <w:t>The hymn remains copyrighted; reproduce text and music only through an authorized hymnal, license, or publisher.</w:t>
      </w:r>
    </w:p>
    <w:p>
      <w:pPr>
        <w:pStyle w:val="Heading1"/>
        <w:spacing w:before="120" w:after="60"/>
      </w:pPr>
      <w:r>
        <w:t>Suggested closing prayer</w:t>
      </w:r>
    </w:p>
    <w:p>
      <w:r>
        <w:t>Lord, you have seen the darkness, heard the cries, and loved your people before we knew how to answer. Give us ears to hear, hearts to feel, and courage to go. Send us with your light, your word, and your mercy. Amen.</w:t>
      </w:r>
    </w:p>
    <w:p>
      <w:pPr>
        <w:pStyle w:val="Heading1"/>
        <w:spacing w:before="120" w:after="60"/>
      </w:pPr>
      <w:r>
        <w:t>Optional response moments</w:t>
      </w:r>
    </w:p>
    <w:p>
      <w:pPr>
        <w:pStyle w:val="ListBullet"/>
        <w:spacing w:after="40"/>
      </w:pPr>
      <w:r>
        <w:rPr>
          <w:sz w:val="18"/>
        </w:rPr>
        <w:t>Invite those discerning ministry, mission, or service to stand for prayer.</w:t>
      </w:r>
    </w:p>
    <w:p>
      <w:pPr>
        <w:pStyle w:val="ListBullet"/>
        <w:spacing w:after="40"/>
      </w:pPr>
      <w:r>
        <w:rPr>
          <w:sz w:val="18"/>
        </w:rPr>
        <w:t>Ask worshipers to write one name or need they believe God is placing on their heart.</w:t>
      </w:r>
    </w:p>
    <w:p>
      <w:pPr>
        <w:pStyle w:val="ListBullet"/>
        <w:spacing w:after="40"/>
      </w:pPr>
      <w:r>
        <w:rPr>
          <w:sz w:val="18"/>
        </w:rPr>
        <w:t>Commission teachers, deacons, choir members, ministry volunteers, or mission teams.</w:t>
      </w:r>
    </w:p>
    <w:p>
      <w:pPr>
        <w:pStyle w:val="ListBullet"/>
        <w:spacing w:after="40"/>
      </w:pPr>
      <w:r>
        <w:rPr>
          <w:sz w:val="18"/>
        </w:rPr>
        <w:t>Close by singing the refrain using an authorized hymnal or license.</w:t>
      </w:r>
    </w:p>
    <w:p>
      <w:pPr>
        <w:pStyle w:val="Heading1"/>
        <w:spacing w:before="120" w:after="60"/>
      </w:pPr>
      <w:r>
        <w:t>Possible sermon series connections</w:t>
      </w:r>
    </w:p>
    <w:p>
      <w:pPr>
        <w:pStyle w:val="ListBullet"/>
        <w:spacing w:after="40"/>
      </w:pPr>
      <w:r>
        <w:rPr>
          <w:sz w:val="18"/>
        </w:rPr>
        <w:t>Call narratives: Moses, Samuel, Isaiah, Mary, Peter, Paul.</w:t>
      </w:r>
    </w:p>
    <w:p>
      <w:pPr>
        <w:pStyle w:val="ListBullet"/>
        <w:spacing w:after="40"/>
      </w:pPr>
      <w:r>
        <w:rPr>
          <w:sz w:val="18"/>
        </w:rPr>
        <w:t>Compassionate mission: light for darkness, word for hardened hearts, bread for the hungry.</w:t>
      </w:r>
    </w:p>
    <w:p>
      <w:pPr>
        <w:pStyle w:val="ListBullet"/>
        <w:spacing w:after="40"/>
      </w:pPr>
      <w:r>
        <w:rPr>
          <w:sz w:val="18"/>
        </w:rPr>
        <w:t>Vocation for all believers: ordained, lay, family, workplace, and community service.</w:t>
      </w:r>
    </w:p>
    <w:sectPr w:rsidR="00FC693F" w:rsidRPr="0006063C" w:rsidSect="00034616">
      <w:footerReference w:type="default" r:id="rId9"/>
      <w:pgSz w:w="12240" w:h="15840"/>
      <w:pgMar w:top="792" w:right="936" w:bottom="792" w:left="936" w:header="720" w:footer="720" w:gutter="0"/>
      <w:cols w:space="720"/>
      <w:docGrid w:linePitch="360"/>
      <w:pgBorders w:offsetFrom="page">
        <w:top w:val="single" w:sz="4" w:space="24" w:color="D9C79E"/>
        <w:left w:val="single" w:sz="4" w:space="24" w:color="D9C79E"/>
        <w:bottom w:val="single" w:sz="4" w:space="24" w:color="D9C79E"/>
        <w:right w:val="single" w:sz="4" w:space="24" w:color="D9C79E"/>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6E60"/>
        <w:sz w:val="16"/>
      </w:rPr>
      <w:t>HymnInfo.com  |  Here I Am, Lord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B2A4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274C7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6B2D2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B2A41"/>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