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22749"/>
          <w:sz w:val="38"/>
        </w:rPr>
        <w:t>A Thousand Tongues for the Redeemer’s Praise</w:t>
      </w:r>
    </w:p>
    <w:p>
      <w:pPr>
        <w:jc w:val="center"/>
      </w:pPr>
      <w:r>
        <w:rPr>
          <w:rFonts w:ascii="Aptos" w:hAnsi="Aptos"/>
          <w:i/>
          <w:color w:val="C2842B"/>
          <w:sz w:val="21"/>
        </w:rPr>
        <w:t>Sermon Outline based on O for a Thousand Tongues to Sing</w:t>
      </w:r>
    </w:p>
    <w:p>
      <w:pPr>
        <w:pStyle w:val="Heading2"/>
        <w:spacing w:before="120" w:after="60"/>
      </w:pPr>
      <w:r>
        <w:t>Main Text and Supporting Scriptures</w:t>
      </w:r>
    </w:p>
    <w:p>
      <w:pPr>
        <w:pStyle w:val="ListBullet"/>
        <w:spacing w:after="20"/>
      </w:pPr>
      <w:r>
        <w:t>Main text: Philippians 2:9-11</w:t>
      </w:r>
    </w:p>
    <w:p>
      <w:pPr>
        <w:pStyle w:val="ListBullet"/>
        <w:spacing w:after="20"/>
      </w:pPr>
      <w:r>
        <w:t>Supporting texts: Psalm 40:3; Luke 4:18; Revelation 5:12-13</w:t>
      </w:r>
    </w:p>
    <w:p>
      <w:pPr>
        <w:pStyle w:val="ListBullet"/>
        <w:spacing w:after="20"/>
      </w:pPr>
      <w:r>
        <w:t>Hymn connection: Charles Wesley’s hymn gives the church a language of praise, testimony, and gospel confidence.</w:t>
      </w:r>
    </w:p>
    <w:p>
      <w:pPr>
        <w:pStyle w:val="Heading2"/>
        <w:spacing w:before="120" w:after="60"/>
      </w:pPr>
      <w:r>
        <w:t>Big Idea</w:t>
      </w:r>
    </w:p>
    <w:p>
      <w:r>
        <w:t>Because Jesus Christ is the exalted Redeemer, the grace we receive must become praise we sing, truth we speak, and witness we live.</w:t>
      </w:r>
    </w:p>
    <w:p>
      <w:pPr>
        <w:pStyle w:val="Heading2"/>
        <w:spacing w:before="120" w:after="60"/>
      </w:pPr>
      <w:r>
        <w:t>Introduction</w:t>
      </w:r>
    </w:p>
    <w:p>
      <w:r>
        <w:t>There are moments when one voice feels too small. A healed sinner, a forgiven heart, a rescued life, a church gathered around the name of Jesus—ordinary words can feel insufficient. Charles Wesley’s hymn begins with that holy insufficiency. The singer wants more tongues, not for noise, but because Christ is worthy of more praise than one life can contain.</w:t>
      </w:r>
    </w:p>
    <w:p>
      <w:pPr>
        <w:pStyle w:val="Heading2"/>
        <w:spacing w:before="120" w:after="60"/>
      </w:pPr>
      <w:r>
        <w:t>I. Grace gives the church a new song</w:t>
      </w:r>
    </w:p>
    <w:p>
      <w:pPr>
        <w:spacing w:after="40"/>
      </w:pPr>
      <w:r>
        <w:rPr>
          <w:b/>
          <w:color w:val="C2842B"/>
        </w:rPr>
        <w:t xml:space="preserve">Explanation: </w:t>
      </w:r>
      <w:r>
        <w:t>Psalm 40:3 says that God places a new song in the mouth of the redeemed. Christian praise begins with God’s action before it becomes our response. Wesley’s hymn is best preached as praise born from grace, not religious performance.</w:t>
      </w:r>
    </w:p>
    <w:p>
      <w:pPr>
        <w:spacing w:after="40"/>
      </w:pPr>
      <w:r>
        <w:rPr>
          <w:b/>
          <w:color w:val="C2842B"/>
        </w:rPr>
        <w:t xml:space="preserve">Hymn connection: </w:t>
      </w:r>
      <w:r>
        <w:t>The hymn’s opening longing for multiplied praise reflects a heart overwhelmed by mercy.</w:t>
      </w:r>
    </w:p>
    <w:p>
      <w:pPr>
        <w:spacing w:after="40"/>
      </w:pPr>
      <w:r>
        <w:rPr>
          <w:b/>
          <w:color w:val="C2842B"/>
        </w:rPr>
        <w:t xml:space="preserve">Biblical support: </w:t>
      </w:r>
      <w:r>
        <w:t>Psalm 40:3; Psalm 35:28</w:t>
      </w:r>
    </w:p>
    <w:p>
      <w:pPr>
        <w:spacing w:after="40"/>
      </w:pPr>
      <w:r>
        <w:rPr>
          <w:b/>
          <w:color w:val="C2842B"/>
        </w:rPr>
        <w:t xml:space="preserve">Illustration idea: </w:t>
      </w:r>
      <w:r>
        <w:t>A person who has received unexpected mercy often searches for words large enough to say thank you.</w:t>
      </w:r>
    </w:p>
    <w:p>
      <w:pPr>
        <w:spacing w:after="40"/>
      </w:pPr>
      <w:r>
        <w:rPr>
          <w:b/>
          <w:color w:val="C2842B"/>
        </w:rPr>
        <w:t xml:space="preserve">Application: </w:t>
      </w:r>
      <w:r>
        <w:t>Ask hearers to name one mercy of Christ they have treated too quietly.</w:t>
      </w:r>
    </w:p>
    <w:p>
      <w:pPr>
        <w:pStyle w:val="Heading2"/>
        <w:spacing w:before="120" w:after="60"/>
      </w:pPr>
      <w:r>
        <w:t>II. The name of Jesus is the center of Christian praise</w:t>
      </w:r>
    </w:p>
    <w:p>
      <w:pPr>
        <w:spacing w:after="40"/>
      </w:pPr>
      <w:r>
        <w:rPr>
          <w:b/>
          <w:color w:val="C2842B"/>
        </w:rPr>
        <w:t xml:space="preserve">Explanation: </w:t>
      </w:r>
      <w:r>
        <w:t>Philippians 2 declares that God has exalted Jesus and given him the name above every name. The church’s song is not centered on vague uplift but on the crucified, risen, and exalted Lord.</w:t>
      </w:r>
    </w:p>
    <w:p>
      <w:pPr>
        <w:spacing w:after="40"/>
      </w:pPr>
      <w:r>
        <w:rPr>
          <w:b/>
          <w:color w:val="C2842B"/>
        </w:rPr>
        <w:t xml:space="preserve">Hymn connection: </w:t>
      </w:r>
      <w:r>
        <w:t>Wesley repeatedly directs praise toward the honor, power, and saving work of Jesus’ name.</w:t>
      </w:r>
    </w:p>
    <w:p>
      <w:pPr>
        <w:spacing w:after="40"/>
      </w:pPr>
      <w:r>
        <w:rPr>
          <w:b/>
          <w:color w:val="C2842B"/>
        </w:rPr>
        <w:t xml:space="preserve">Biblical support: </w:t>
      </w:r>
      <w:r>
        <w:t>Philippians 2:9-11</w:t>
      </w:r>
    </w:p>
    <w:p>
      <w:pPr>
        <w:spacing w:after="40"/>
      </w:pPr>
      <w:r>
        <w:rPr>
          <w:b/>
          <w:color w:val="C2842B"/>
        </w:rPr>
        <w:t xml:space="preserve">Illustration idea: </w:t>
      </w:r>
      <w:r>
        <w:t>In a world of many names competing for loyalty, the church bends its knee and lifts its voice to one Lord.</w:t>
      </w:r>
    </w:p>
    <w:p>
      <w:pPr>
        <w:spacing w:after="40"/>
      </w:pPr>
      <w:r>
        <w:rPr>
          <w:b/>
          <w:color w:val="C2842B"/>
        </w:rPr>
        <w:t xml:space="preserve">Application: </w:t>
      </w:r>
      <w:r>
        <w:t>Call the congregation to renew its confession: Jesus Christ is Lord.</w:t>
      </w:r>
    </w:p>
    <w:p>
      <w:pPr>
        <w:pStyle w:val="Heading2"/>
        <w:spacing w:before="120" w:after="60"/>
      </w:pPr>
      <w:r>
        <w:t>III. The gospel brings freedom to the captive</w:t>
      </w:r>
    </w:p>
    <w:p>
      <w:pPr>
        <w:spacing w:after="40"/>
      </w:pPr>
      <w:r>
        <w:rPr>
          <w:b/>
          <w:color w:val="C2842B"/>
        </w:rPr>
        <w:t xml:space="preserve">Explanation: </w:t>
      </w:r>
      <w:r>
        <w:t>Luke 4:18 gives biblical shape to the hymn’s language of release and healing. Jesus brings good news to the poor, release to captives, sight to the blind, and freedom to the oppressed.</w:t>
      </w:r>
    </w:p>
    <w:p>
      <w:pPr>
        <w:spacing w:after="40"/>
      </w:pPr>
      <w:r>
        <w:rPr>
          <w:b/>
          <w:color w:val="C2842B"/>
        </w:rPr>
        <w:t xml:space="preserve">Hymn connection: </w:t>
      </w:r>
      <w:r>
        <w:t>The hymn’s strongest pastoral movement names Christ’s power over fear, sorrow, sin, and bondage.</w:t>
      </w:r>
    </w:p>
    <w:p>
      <w:pPr>
        <w:spacing w:after="40"/>
      </w:pPr>
      <w:r>
        <w:rPr>
          <w:b/>
          <w:color w:val="C2842B"/>
        </w:rPr>
        <w:t xml:space="preserve">Biblical support: </w:t>
      </w:r>
      <w:r>
        <w:t>Luke 4:18; Romans 6:6-7 may be used as a related text</w:t>
      </w:r>
    </w:p>
    <w:p>
      <w:pPr>
        <w:spacing w:after="40"/>
      </w:pPr>
      <w:r>
        <w:rPr>
          <w:b/>
          <w:color w:val="C2842B"/>
        </w:rPr>
        <w:t xml:space="preserve">Illustration idea: </w:t>
      </w:r>
      <w:r>
        <w:t>A prison door is not opened by the prisoner’s eloquence, but by the authority of one who holds the key.</w:t>
      </w:r>
    </w:p>
    <w:p>
      <w:pPr>
        <w:spacing w:after="40"/>
      </w:pPr>
      <w:r>
        <w:rPr>
          <w:b/>
          <w:color w:val="C2842B"/>
        </w:rPr>
        <w:t xml:space="preserve">Application: </w:t>
      </w:r>
      <w:r>
        <w:t>Address the ashamed, anxious, addicted, grieving, and spiritually weary with the promise of Christ’s freedom.</w:t>
      </w:r>
    </w:p>
    <w:p>
      <w:pPr>
        <w:pStyle w:val="Heading2"/>
        <w:spacing w:before="120" w:after="60"/>
      </w:pPr>
      <w:r>
        <w:t>IV. Redeemed praise becomes public witness</w:t>
      </w:r>
    </w:p>
    <w:p>
      <w:pPr>
        <w:spacing w:after="40"/>
      </w:pPr>
      <w:r>
        <w:rPr>
          <w:b/>
          <w:color w:val="C2842B"/>
        </w:rPr>
        <w:t xml:space="preserve">Explanation: </w:t>
      </w:r>
      <w:r>
        <w:t>The new song is not meant to remain private. Psalm 40 says others will see and trust. Christian testimony begins when praise moves outward in humble speech and faithful living.</w:t>
      </w:r>
    </w:p>
    <w:p>
      <w:pPr>
        <w:spacing w:after="40"/>
      </w:pPr>
      <w:r>
        <w:rPr>
          <w:b/>
          <w:color w:val="C2842B"/>
        </w:rPr>
        <w:t xml:space="preserve">Hymn connection: </w:t>
      </w:r>
      <w:r>
        <w:t>The hymn asks God to assist the singer in proclaiming Christ throughout the earth.</w:t>
      </w:r>
    </w:p>
    <w:p>
      <w:pPr>
        <w:spacing w:after="40"/>
      </w:pPr>
      <w:r>
        <w:rPr>
          <w:b/>
          <w:color w:val="C2842B"/>
        </w:rPr>
        <w:t xml:space="preserve">Biblical support: </w:t>
      </w:r>
      <w:r>
        <w:t>Psalm 40:3; Acts 4:20</w:t>
      </w:r>
    </w:p>
    <w:p>
      <w:pPr>
        <w:spacing w:after="40"/>
      </w:pPr>
      <w:r>
        <w:rPr>
          <w:b/>
          <w:color w:val="C2842B"/>
        </w:rPr>
        <w:t xml:space="preserve">Illustration idea: </w:t>
      </w:r>
      <w:r>
        <w:t>A witness does not need to explain everything; a witness tells what has been seen and received.</w:t>
      </w:r>
    </w:p>
    <w:p>
      <w:pPr>
        <w:spacing w:after="40"/>
      </w:pPr>
      <w:r>
        <w:rPr>
          <w:b/>
          <w:color w:val="C2842B"/>
        </w:rPr>
        <w:t xml:space="preserve">Application: </w:t>
      </w:r>
      <w:r>
        <w:t>Invite believers to speak one clear word of testimony this week.</w:t>
      </w:r>
    </w:p>
    <w:p>
      <w:pPr>
        <w:pStyle w:val="Heading2"/>
        <w:spacing w:before="120" w:after="60"/>
      </w:pPr>
      <w:r>
        <w:t>V. Earth’s song anticipates heaven’s chorus</w:t>
      </w:r>
    </w:p>
    <w:p>
      <w:pPr>
        <w:spacing w:after="40"/>
      </w:pPr>
      <w:r>
        <w:rPr>
          <w:b/>
          <w:color w:val="C2842B"/>
        </w:rPr>
        <w:t xml:space="preserve">Explanation: </w:t>
      </w:r>
      <w:r>
        <w:t>Revelation 5 shows the Lamb receiving praise from all creation. Congregational singing is a rehearsal for the worship toward which history is moving.</w:t>
      </w:r>
    </w:p>
    <w:p>
      <w:pPr>
        <w:spacing w:after="40"/>
      </w:pPr>
      <w:r>
        <w:rPr>
          <w:b/>
          <w:color w:val="C2842B"/>
        </w:rPr>
        <w:t xml:space="preserve">Hymn connection: </w:t>
      </w:r>
      <w:r>
        <w:t>The hymn’s final horizon is doxology shared by saints below and saints above.</w:t>
      </w:r>
    </w:p>
    <w:p>
      <w:pPr>
        <w:spacing w:after="40"/>
      </w:pPr>
      <w:r>
        <w:rPr>
          <w:b/>
          <w:color w:val="C2842B"/>
        </w:rPr>
        <w:t xml:space="preserve">Biblical support: </w:t>
      </w:r>
      <w:r>
        <w:t>Revelation 5:12-13</w:t>
      </w:r>
    </w:p>
    <w:p>
      <w:pPr>
        <w:spacing w:after="40"/>
      </w:pPr>
      <w:r>
        <w:rPr>
          <w:b/>
          <w:color w:val="C2842B"/>
        </w:rPr>
        <w:t xml:space="preserve">Illustration idea: </w:t>
      </w:r>
      <w:r>
        <w:t>A small congregation singing faithfully may sound ordinary on earth, but heaven recognizes the subject of the song.</w:t>
      </w:r>
    </w:p>
    <w:p>
      <w:pPr>
        <w:spacing w:after="40"/>
      </w:pPr>
      <w:r>
        <w:rPr>
          <w:b/>
          <w:color w:val="C2842B"/>
        </w:rPr>
        <w:t xml:space="preserve">Application: </w:t>
      </w:r>
      <w:r>
        <w:t>Encourage the church to sing with hope, not merely memory or habit.</w:t>
      </w:r>
    </w:p>
    <w:p>
      <w:pPr>
        <w:pStyle w:val="Heading2"/>
        <w:spacing w:before="120" w:after="60"/>
      </w:pPr>
      <w:r>
        <w:t>Christ-Centered Connection</w:t>
      </w:r>
    </w:p>
    <w:p>
      <w:r>
        <w:t>This sermon should lead clearly to Christ. The church does not praise praise itself. It praises the Redeemer whose obedience, death, resurrection, and exaltation make salvation possible. The “thousand tongues” are wanted because the Lamb is worthy.</w:t>
      </w:r>
    </w:p>
    <w:p>
      <w:pPr>
        <w:pStyle w:val="Heading2"/>
        <w:spacing w:before="120" w:after="60"/>
      </w:pPr>
      <w:r>
        <w:t>Pastoral Applications</w:t>
      </w:r>
    </w:p>
    <w:p>
      <w:pPr>
        <w:pStyle w:val="ListBullet"/>
        <w:spacing w:after="20"/>
      </w:pPr>
      <w:r>
        <w:t>To the anxious: the name of Jesus is stronger than the fear that silences you.</w:t>
      </w:r>
    </w:p>
    <w:p>
      <w:pPr>
        <w:pStyle w:val="ListBullet"/>
        <w:spacing w:after="20"/>
      </w:pPr>
      <w:r>
        <w:t>To the ashamed: Christ’s cleansing is deeper than the stain you cannot remove.</w:t>
      </w:r>
    </w:p>
    <w:p>
      <w:pPr>
        <w:pStyle w:val="ListBullet"/>
        <w:spacing w:after="20"/>
      </w:pPr>
      <w:r>
        <w:t>To the weary: praise does not deny weariness; it carries weariness to the Redeemer.</w:t>
      </w:r>
    </w:p>
    <w:p>
      <w:pPr>
        <w:pStyle w:val="ListBullet"/>
        <w:spacing w:after="20"/>
      </w:pPr>
      <w:r>
        <w:t>To the joyful: let gratitude become witness, not merely private emotion.</w:t>
      </w:r>
    </w:p>
    <w:p>
      <w:pPr>
        <w:pStyle w:val="ListBullet"/>
        <w:spacing w:after="20"/>
      </w:pPr>
      <w:r>
        <w:t>To the church: sing so that unbelievers can hear what grace sounds like.</w:t>
      </w:r>
    </w:p>
    <w:p>
      <w:pPr>
        <w:pStyle w:val="Heading2"/>
        <w:spacing w:before="120" w:after="60"/>
      </w:pPr>
      <w:r>
        <w:t>Conclusion and Call to Response</w:t>
      </w:r>
    </w:p>
    <w:p>
      <w:r>
        <w:t>The hymn begins with a longing for more tongues, but the sermon should end with the tongue God has already given each hearer. Let the redeemed speak. Let the church sing. Let the name of Jesus be honored in worship, conversation, mercy, courage, and witness.</w:t>
      </w:r>
    </w:p>
    <w:p>
      <w:pPr>
        <w:pStyle w:val="Heading2"/>
        <w:spacing w:before="120" w:after="60"/>
      </w:pPr>
      <w:r>
        <w:t>Suggested Closing Prayer</w:t>
      </w:r>
    </w:p>
    <w:p>
      <w:r>
        <w:t>Exalted Lord Jesus, place your praise on our lips and your mercy in our witness. Make your church bold without pride, joyful without shallowness, and faithful in proclaiming your saving name. Amen.</w:t>
      </w:r>
    </w:p>
    <w:p>
      <w:pPr>
        <w:jc w:val="center"/>
      </w:pPr>
      <w:r>
        <w:rPr>
          <w:rFonts w:ascii="Aptos" w:hAnsi="Aptos"/>
          <w:color w:val="646464"/>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12274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12274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2274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for a Thousand Tongues to Sing Sermon Outline</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