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F2A32"/>
          <w:sz w:val="44"/>
        </w:rPr>
        <w:t>I Will Trust in the Lord</w:t>
      </w:r>
    </w:p>
    <w:p>
      <w:pPr>
        <w:jc w:val="center"/>
      </w:pPr>
      <w:r>
        <w:rPr>
          <w:rFonts w:ascii="Aptos" w:hAnsi="Aptos"/>
          <w:color w:val="B87925"/>
          <w:sz w:val="20"/>
        </w:rPr>
        <w:t>Sermon Outline</w:t>
      </w:r>
    </w:p>
    <w:p/>
    <w:p>
      <w:pPr>
        <w:pStyle w:val="Heading2"/>
        <w:spacing w:before="80" w:after="40"/>
      </w:pPr>
      <w:r>
        <w:t>Sermon Title</w:t>
      </w:r>
    </w:p>
    <w:p>
      <w:r>
        <w:t>Trusting the Lord for the Whole Journey</w:t>
      </w:r>
    </w:p>
    <w:p>
      <w:pPr>
        <w:pStyle w:val="Heading2"/>
        <w:spacing w:before="80" w:after="40"/>
      </w:pPr>
      <w:r>
        <w:t>Main Text and Supporting Scriptures</w:t>
      </w:r>
    </w:p>
    <w:p>
      <w:r>
        <w:t>Main Text: Psalm 37:3-5</w:t>
      </w:r>
    </w:p>
    <w:p>
      <w:r>
        <w:t>Supporting Scriptures: Proverbs 3:5-6; Isaiah 26:4; Psalm 56:3-4; Revelation 2:10</w:t>
      </w:r>
    </w:p>
    <w:p>
      <w:pPr>
        <w:pStyle w:val="Heading2"/>
        <w:spacing w:before="80" w:after="40"/>
      </w:pPr>
      <w:r>
        <w:t>Big Idea</w:t>
      </w:r>
    </w:p>
    <w:p>
      <w:r>
        <w:t>Because the Lord is faithful and steadfast, his people can trust him, obey him, and continue with hope until the journey is complete.</w:t>
      </w:r>
    </w:p>
    <w:p>
      <w:pPr>
        <w:pStyle w:val="Heading2"/>
        <w:spacing w:before="80" w:after="40"/>
      </w:pPr>
      <w:r>
        <w:t>Introduction</w:t>
      </w:r>
    </w:p>
    <w:p>
      <w:r>
        <w:t>There are seasons when faith is not dramatic. It is simply putting the next foot down before God. This spiritual gives the church a plain but costly confession: trust the Lord, keep walking, and keep bearing witness together. Its strength is not in many words but in a repeated resolve shaped by Scripture.</w:t>
      </w:r>
    </w:p>
    <w:p>
      <w:pPr>
        <w:pStyle w:val="Heading2"/>
        <w:spacing w:before="80" w:after="40"/>
      </w:pPr>
      <w:r>
        <w:t>I. Trust begins with the character of God.</w:t>
      </w:r>
    </w:p>
    <w:p>
      <w:r>
        <w:rPr>
          <w:b/>
        </w:rPr>
        <w:t xml:space="preserve">Explanation: </w:t>
      </w:r>
      <w:r>
        <w:t>Psalm 37 does not begin with the believer’s control over circumstances. It begins with the Lord who can be trusted. Faith rests on God’s goodness before it rests on our understanding.</w:t>
      </w:r>
    </w:p>
    <w:p>
      <w:r>
        <w:rPr>
          <w:b/>
        </w:rPr>
        <w:t xml:space="preserve">Hymn connection: </w:t>
      </w:r>
      <w:r>
        <w:t>The hymn’s central confession is a direct act of reliance. It is prayer, testimony, and surrender in one sentence.</w:t>
      </w:r>
    </w:p>
    <w:p>
      <w:r>
        <w:rPr>
          <w:b/>
        </w:rPr>
        <w:t xml:space="preserve">Biblical support: </w:t>
      </w:r>
      <w:r>
        <w:t>Psalm 37:3-5; Isaiah 26:4</w:t>
      </w:r>
    </w:p>
    <w:p>
      <w:r>
        <w:rPr>
          <w:b/>
        </w:rPr>
        <w:t xml:space="preserve">Illustration idea: </w:t>
      </w:r>
      <w:r>
        <w:t>A child crossing a dark room is steadied not by seeing everything, but by hearing a trusted voice.</w:t>
      </w:r>
    </w:p>
    <w:p>
      <w:r>
        <w:rPr>
          <w:b/>
        </w:rPr>
        <w:t xml:space="preserve">Application: </w:t>
      </w:r>
      <w:r>
        <w:t>Call the congregation to name the places where fear has made God seem smaller than their circumstances.</w:t>
      </w:r>
    </w:p>
    <w:p>
      <w:pPr>
        <w:pStyle w:val="Heading2"/>
        <w:spacing w:before="80" w:after="40"/>
      </w:pPr>
      <w:r>
        <w:t>II. Trust refuses to lean on self alone.</w:t>
      </w:r>
    </w:p>
    <w:p>
      <w:r>
        <w:rPr>
          <w:b/>
        </w:rPr>
        <w:t xml:space="preserve">Explanation: </w:t>
      </w:r>
      <w:r>
        <w:t>Proverbs 3 calls believers away from self-sufficient wisdom. Christian trust is not anti-wisdom; it is wisdom under the authority of God.</w:t>
      </w:r>
    </w:p>
    <w:p>
      <w:r>
        <w:rPr>
          <w:b/>
        </w:rPr>
        <w:t xml:space="preserve">Hymn connection: </w:t>
      </w:r>
      <w:r>
        <w:t>The repeated nature of the spiritual trains the heart to return again and again from self-reliance to dependence.</w:t>
      </w:r>
    </w:p>
    <w:p>
      <w:r>
        <w:rPr>
          <w:b/>
        </w:rPr>
        <w:t xml:space="preserve">Biblical support: </w:t>
      </w:r>
      <w:r>
        <w:t>Proverbs 3:5-6</w:t>
      </w:r>
    </w:p>
    <w:p>
      <w:r>
        <w:rPr>
          <w:b/>
        </w:rPr>
        <w:t xml:space="preserve">Illustration idea: </w:t>
      </w:r>
      <w:r>
        <w:t>A traveler with a faulty map needs more than determination; he needs a trustworthy guide.</w:t>
      </w:r>
    </w:p>
    <w:p>
      <w:r>
        <w:rPr>
          <w:b/>
        </w:rPr>
        <w:t xml:space="preserve">Application: </w:t>
      </w:r>
      <w:r>
        <w:t>Invite listeners to submit decisions, plans, and anxieties to the Lord in prayer and obedience.</w:t>
      </w:r>
    </w:p>
    <w:p>
      <w:pPr>
        <w:pStyle w:val="Heading2"/>
        <w:spacing w:before="80" w:after="40"/>
      </w:pPr>
      <w:r>
        <w:t>III. Trust keeps faith alive in fear.</w:t>
      </w:r>
    </w:p>
    <w:p>
      <w:r>
        <w:rPr>
          <w:b/>
        </w:rPr>
        <w:t xml:space="preserve">Explanation: </w:t>
      </w:r>
      <w:r>
        <w:t>Psalm 56 does not deny fear. It teaches believers what to do with fear: put trust in God and praise his word.</w:t>
      </w:r>
    </w:p>
    <w:p>
      <w:r>
        <w:rPr>
          <w:b/>
        </w:rPr>
        <w:t xml:space="preserve">Hymn connection: </w:t>
      </w:r>
      <w:r>
        <w:t>This hymn can be sung honestly by people who are afraid, grieving, weary, or under pressure.</w:t>
      </w:r>
    </w:p>
    <w:p>
      <w:r>
        <w:rPr>
          <w:b/>
        </w:rPr>
        <w:t xml:space="preserve">Biblical support: </w:t>
      </w:r>
      <w:r>
        <w:t>Psalm 56:3-4</w:t>
      </w:r>
    </w:p>
    <w:p>
      <w:r>
        <w:rPr>
          <w:b/>
        </w:rPr>
        <w:t xml:space="preserve">Illustration idea: </w:t>
      </w:r>
      <w:r>
        <w:t>A candle does not remove the night all at once, but it gives enough light for the next step.</w:t>
      </w:r>
    </w:p>
    <w:p>
      <w:r>
        <w:rPr>
          <w:b/>
        </w:rPr>
        <w:t xml:space="preserve">Application: </w:t>
      </w:r>
      <w:r>
        <w:t>Pastorally address the anxious and the suffering: faith is not pretending; faith is turning toward God.</w:t>
      </w:r>
    </w:p>
    <w:p>
      <w:pPr>
        <w:pStyle w:val="Heading2"/>
        <w:spacing w:before="80" w:after="40"/>
      </w:pPr>
      <w:r>
        <w:t>IV. Trust becomes visible through perseverance.</w:t>
      </w:r>
    </w:p>
    <w:p>
      <w:r>
        <w:rPr>
          <w:b/>
        </w:rPr>
        <w:t xml:space="preserve">Explanation: </w:t>
      </w:r>
      <w:r>
        <w:t>The call of Revelation 2:10 is faithfulness under trial. Trust is proved over time by continuing with Christ.</w:t>
      </w:r>
    </w:p>
    <w:p>
      <w:r>
        <w:rPr>
          <w:b/>
        </w:rPr>
        <w:t xml:space="preserve">Hymn connection: </w:t>
      </w:r>
      <w:r>
        <w:t>The spiritual’s steady resolve gives voice to a faith that keeps going, especially within a tradition of communal endurance and hope.</w:t>
      </w:r>
    </w:p>
    <w:p>
      <w:r>
        <w:rPr>
          <w:b/>
        </w:rPr>
        <w:t xml:space="preserve">Biblical support: </w:t>
      </w:r>
      <w:r>
        <w:t>Revelation 2:10</w:t>
      </w:r>
    </w:p>
    <w:p>
      <w:r>
        <w:rPr>
          <w:b/>
        </w:rPr>
        <w:t xml:space="preserve">Illustration idea: </w:t>
      </w:r>
      <w:r>
        <w:t>Endurance in faith is like a congregation continuing to sing even when one voice grows weak.</w:t>
      </w:r>
    </w:p>
    <w:p>
      <w:r>
        <w:rPr>
          <w:b/>
        </w:rPr>
        <w:t xml:space="preserve">Application: </w:t>
      </w:r>
      <w:r>
        <w:t>Challenge the church to encourage one another, especially those whose strength is low.</w:t>
      </w:r>
    </w:p>
    <w:p>
      <w:pPr>
        <w:pStyle w:val="Heading2"/>
        <w:spacing w:before="80" w:after="40"/>
      </w:pPr>
      <w:r>
        <w:t>Christ-Centered Connection</w:t>
      </w:r>
    </w:p>
    <w:p>
      <w:r>
        <w:t>The fullest ground for trusting God is not our resolve but God’s faithfulness revealed in Christ. Jesus trusted the Father through suffering, fulfilled faithful obedience on our behalf, and now holds his people secure. The call to trust is therefore not a demand to manufacture strength; it is a summons to rest in the Lord who has already acted for us in Christ.</w:t>
      </w:r>
    </w:p>
    <w:p>
      <w:pPr>
        <w:pStyle w:val="Heading2"/>
        <w:spacing w:before="80" w:after="40"/>
      </w:pPr>
      <w:r>
        <w:t>Pastoral Applications</w:t>
      </w:r>
    </w:p>
    <w:p>
      <w:pPr>
        <w:pStyle w:val="ListBullet"/>
        <w:spacing w:after="20"/>
      </w:pPr>
      <w:r>
        <w:rPr>
          <w:rFonts w:ascii="Aptos" w:hAnsi="Aptos"/>
          <w:sz w:val="17"/>
        </w:rPr>
        <w:t>To the anxious: bring fear into prayer rather than hiding it.</w:t>
      </w:r>
    </w:p>
    <w:p>
      <w:pPr>
        <w:pStyle w:val="ListBullet"/>
        <w:spacing w:after="20"/>
      </w:pPr>
      <w:r>
        <w:rPr>
          <w:rFonts w:ascii="Aptos" w:hAnsi="Aptos"/>
          <w:sz w:val="17"/>
        </w:rPr>
        <w:t>To the grieving: trust may sound like a quiet lament before it sounds like confidence.</w:t>
      </w:r>
    </w:p>
    <w:p>
      <w:pPr>
        <w:pStyle w:val="ListBullet"/>
        <w:spacing w:after="20"/>
      </w:pPr>
      <w:r>
        <w:rPr>
          <w:rFonts w:ascii="Aptos" w:hAnsi="Aptos"/>
          <w:sz w:val="17"/>
        </w:rPr>
        <w:t>To the weary: faithfulness today is enough; God will give grace for tomorrow.</w:t>
      </w:r>
    </w:p>
    <w:p>
      <w:pPr>
        <w:pStyle w:val="ListBullet"/>
        <w:spacing w:after="20"/>
      </w:pPr>
      <w:r>
        <w:rPr>
          <w:rFonts w:ascii="Aptos" w:hAnsi="Aptos"/>
          <w:sz w:val="17"/>
        </w:rPr>
        <w:t>To the joyful: let gratitude become obedience and public testimony.</w:t>
      </w:r>
    </w:p>
    <w:p>
      <w:pPr>
        <w:pStyle w:val="ListBullet"/>
        <w:spacing w:after="20"/>
      </w:pPr>
      <w:r>
        <w:rPr>
          <w:rFonts w:ascii="Aptos" w:hAnsi="Aptos"/>
          <w:sz w:val="17"/>
        </w:rPr>
        <w:t>To the serving: do good while you wait, and commit the results to the Lord.</w:t>
      </w:r>
    </w:p>
    <w:p>
      <w:pPr>
        <w:pStyle w:val="ListBullet"/>
        <w:spacing w:after="20"/>
      </w:pPr>
      <w:r>
        <w:rPr>
          <w:rFonts w:ascii="Aptos" w:hAnsi="Aptos"/>
          <w:sz w:val="17"/>
        </w:rPr>
        <w:t>To the congregation: become a people who help one another keep trusting.</w:t>
      </w:r>
    </w:p>
    <w:p>
      <w:pPr>
        <w:pStyle w:val="Heading2"/>
        <w:spacing w:before="80" w:after="40"/>
      </w:pPr>
      <w:r>
        <w:t>Conclusion and Call to Response</w:t>
      </w:r>
    </w:p>
    <w:p>
      <w:r>
        <w:t>The hymn gives the church a confession that can be sung in the morning, in the valley, at the sickbed, beside the grave, and in the sanctuary. Trust the Lord. Do good. Commit your way to him. Keep walking with Christ until faith becomes sight.</w:t>
      </w:r>
    </w:p>
    <w:p>
      <w:pPr>
        <w:pStyle w:val="Heading2"/>
        <w:spacing w:before="80" w:after="40"/>
      </w:pPr>
      <w:r>
        <w:t>Suggested Closing Prayer</w:t>
      </w:r>
    </w:p>
    <w:p>
      <w:r>
        <w:t>Faithful Lord, we commit our way to you. Forgive our self-reliance, strengthen our fearful hearts, and teach us to trust you in obedience. Hold the weary, steady the anxious, comfort the grieving, and make this congregation a living testimony of your faithfulness in Jesus Christ. Amen.</w:t>
      </w:r>
    </w:p>
    <w:p>
      <w:pPr>
        <w:jc w:val="center"/>
      </w:pPr>
      <w:r>
        <w:rPr>
          <w:rFonts w:ascii="Aptos" w:hAnsi="Aptos"/>
          <w:color w:val="696969"/>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20"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2A3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4495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F2A3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Will Trust in the Lord</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