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2A32"/>
          <w:sz w:val="44"/>
        </w:rPr>
        <w:t>I Will Trust in the Lord</w:t>
      </w:r>
    </w:p>
    <w:p>
      <w:pPr>
        <w:jc w:val="center"/>
      </w:pPr>
      <w:r>
        <w:rPr>
          <w:rFonts w:ascii="Aptos" w:hAnsi="Aptos"/>
          <w:color w:val="B87925"/>
          <w:sz w:val="20"/>
        </w:rPr>
        <w:t>Small Group Handout</w:t>
      </w:r>
    </w:p>
    <w:p/>
    <w:p>
      <w:r>
        <w:rPr>
          <w:b/>
        </w:rPr>
        <w:t xml:space="preserve">Purpose: </w:t>
      </w:r>
      <w:r>
        <w:t>To help a group confess trust in God with Scripture-shaped faith, honest perseverance, and communal encouragement.</w:t>
      </w:r>
    </w:p>
    <w:p>
      <w:pPr>
        <w:pStyle w:val="Heading2"/>
        <w:spacing w:before="80" w:after="40"/>
      </w:pPr>
      <w:r>
        <w:t>Opening Reflection</w:t>
      </w:r>
    </w:p>
    <w:p>
      <w:pPr>
        <w:pStyle w:val="ListBullet"/>
        <w:spacing w:after="20"/>
      </w:pPr>
      <w:r>
        <w:rPr>
          <w:rFonts w:ascii="Aptos" w:hAnsi="Aptos"/>
          <w:sz w:val="18"/>
        </w:rPr>
        <w:t>When has trusting God felt simple to say but hard to practice?</w:t>
      </w:r>
    </w:p>
    <w:p>
      <w:pPr>
        <w:pStyle w:val="ListBullet"/>
        <w:spacing w:after="20"/>
      </w:pPr>
      <w:r>
        <w:rPr>
          <w:rFonts w:ascii="Aptos" w:hAnsi="Aptos"/>
          <w:sz w:val="18"/>
        </w:rPr>
        <w:t>What helps you continue in faith when the way ahead is unclear?</w:t>
      </w:r>
    </w:p>
    <w:p>
      <w:pPr>
        <w:pStyle w:val="ListBullet"/>
        <w:spacing w:after="20"/>
      </w:pPr>
      <w:r>
        <w:rPr>
          <w:rFonts w:ascii="Aptos" w:hAnsi="Aptos"/>
          <w:sz w:val="18"/>
        </w:rPr>
        <w:t>How can a congregation strengthen one another through repeated testimony and song?</w:t>
      </w:r>
    </w:p>
    <w:p>
      <w:pPr>
        <w:pStyle w:val="Heading2"/>
        <w:spacing w:before="80" w:after="40"/>
      </w:pPr>
      <w:r>
        <w:t>Brief Hymn Background</w:t>
      </w:r>
    </w:p>
    <w:p>
      <w:r>
        <w:rPr>
          <w:b/>
        </w:rPr>
        <w:t xml:space="preserve">Origin: </w:t>
      </w:r>
      <w:r>
        <w:t>Traditional African American spiritual. Available hymn records do not clearly establish a single author, composer, or date of origin.</w:t>
      </w:r>
    </w:p>
    <w:p>
      <w:r>
        <w:rPr>
          <w:b/>
        </w:rPr>
        <w:t xml:space="preserve">Printed use: </w:t>
      </w:r>
      <w:r>
        <w:t>The hymn has appeared in African American and ecumenical hymnals, including Songs of Zion, The United Methodist Hymnal, Lift Every Voice and Sing II, and other worship collections.</w:t>
      </w:r>
    </w:p>
    <w:p>
      <w:r>
        <w:rPr>
          <w:b/>
        </w:rPr>
        <w:t xml:space="preserve">Arrangement note: </w:t>
      </w:r>
      <w:r>
        <w:t>William Farley Smith prepared a well-known 1987 adaptation and arrangement for The United Methodist Hymnal. That arrangement should be distinguished from the older traditional spiritual.</w:t>
      </w:r>
    </w:p>
    <w:p>
      <w:r>
        <w:rPr>
          <w:b/>
        </w:rPr>
        <w:t xml:space="preserve">Tune and meter: </w:t>
      </w:r>
      <w:r>
        <w:t>Hymnals may identify the tune as I WILL TRUST or TRUST IN THE LORD. The meter is normally irregular, reflecting the flexible shape of spirituals and oral song traditions.</w:t>
      </w:r>
    </w:p>
    <w:p>
      <w:pPr>
        <w:pStyle w:val="Heading2"/>
        <w:spacing w:before="80" w:after="40"/>
      </w:pPr>
      <w:r>
        <w:t>Primary Scripture and Supporting Passages</w:t>
      </w:r>
    </w:p>
    <w:p>
      <w:r>
        <w:rPr>
          <w:b/>
        </w:rPr>
        <w:t xml:space="preserve">Psalm 37:3-5: </w:t>
      </w:r>
      <w:r>
        <w:t>Trust in the Lord, do good, dwell securely, delight in the Lord, and commit your way to him.</w:t>
      </w:r>
    </w:p>
    <w:p>
      <w:r>
        <w:rPr>
          <w:b/>
        </w:rPr>
        <w:t xml:space="preserve">Supporting passages: </w:t>
      </w:r>
      <w:r>
        <w:t>Proverbs 3:5-6; Isaiah 26:4; Psalm 56:3-4; Revelation 2:10.</w:t>
      </w:r>
    </w:p>
    <w:p>
      <w:pPr>
        <w:pStyle w:val="Heading2"/>
        <w:spacing w:before="80" w:after="40"/>
      </w:pPr>
      <w:r>
        <w:t>Hymn Study by Major Movement</w:t>
      </w:r>
    </w:p>
    <w:p>
      <w:r>
        <w:rPr>
          <w:b/>
        </w:rPr>
        <w:t xml:space="preserve">Confession of trust: </w:t>
      </w:r>
      <w:r>
        <w:t>The hymn begins with a direct testimony of reliance on God. Trust is not treated as a vague feeling but as a deliberate act of faith. Scripture connection: Psalm 37:3-5; Proverbs 3:5-6.</w:t>
      </w:r>
    </w:p>
    <w:p>
      <w:r>
        <w:rPr>
          <w:b/>
        </w:rPr>
        <w:t xml:space="preserve">Faith for the road ahead: </w:t>
      </w:r>
      <w:r>
        <w:t>The repeated commitment helps worshipers keep praying when the path is hard to see. Repetition becomes spiritual formation. Scripture connection: Psalm 56:3-4; Isaiah 26:4.</w:t>
      </w:r>
    </w:p>
    <w:p>
      <w:r>
        <w:rPr>
          <w:b/>
        </w:rPr>
        <w:t xml:space="preserve">Perseverance before God: </w:t>
      </w:r>
      <w:r>
        <w:t>The song’s steady resolve fits moments when believers need courage to continue faithfully under pressure. Scripture connection: Revelation 2:10.</w:t>
      </w:r>
    </w:p>
    <w:p>
      <w:r>
        <w:rPr>
          <w:b/>
        </w:rPr>
        <w:t xml:space="preserve">Congregational testimony: </w:t>
      </w:r>
      <w:r>
        <w:t>Sung together, the hymn allows the church to encourage the fearful, the weary, and the hopeful with one voice. Scripture connection: Hebrews 10:23-25 as a thematic connection.</w:t>
      </w:r>
    </w:p>
    <w:p>
      <w:pPr>
        <w:pStyle w:val="Heading2"/>
        <w:spacing w:before="80" w:after="40"/>
      </w:pPr>
      <w:r>
        <w:t>Study Table</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1F2A32"/>
            <w:tcBorders>
              <w:top w:sz="4" w:val="single" w:color="D6C4A8"/>
              <w:left w:sz="4" w:val="single" w:color="D6C4A8"/>
              <w:bottom w:sz="4" w:val="single" w:color="D6C4A8"/>
              <w:right w:sz="4" w:val="single" w:color="D6C4A8"/>
            </w:tcBorders>
          </w:tcPr>
          <w:p>
            <w:pPr>
              <w:spacing w:after="20"/>
            </w:pPr>
            <w:r/>
            <w:r>
              <w:rPr>
                <w:rFonts w:ascii="Aptos" w:hAnsi="Aptos"/>
                <w:b/>
                <w:color w:val="FFFFFF"/>
                <w:sz w:val="17"/>
              </w:rPr>
              <w:t>Hymn Theme</w:t>
            </w:r>
          </w:p>
        </w:tc>
        <w:tc>
          <w:tcPr>
            <w:tcW w:type="dxa" w:w="3504"/>
            <w:shd w:fill="1F2A32"/>
            <w:tcBorders>
              <w:top w:sz="4" w:val="single" w:color="D6C4A8"/>
              <w:left w:sz="4" w:val="single" w:color="D6C4A8"/>
              <w:bottom w:sz="4" w:val="single" w:color="D6C4A8"/>
              <w:right w:sz="4" w:val="single" w:color="D6C4A8"/>
            </w:tcBorders>
          </w:tcPr>
          <w:p>
            <w:pPr>
              <w:spacing w:after="20"/>
            </w:pPr>
            <w:r/>
            <w:r>
              <w:rPr>
                <w:rFonts w:ascii="Aptos" w:hAnsi="Aptos"/>
                <w:b/>
                <w:color w:val="FFFFFF"/>
                <w:sz w:val="17"/>
              </w:rPr>
              <w:t>Scripture Connection</w:t>
            </w:r>
          </w:p>
        </w:tc>
        <w:tc>
          <w:tcPr>
            <w:tcW w:type="dxa" w:w="3504"/>
            <w:shd w:fill="1F2A32"/>
            <w:tcBorders>
              <w:top w:sz="4" w:val="single" w:color="D6C4A8"/>
              <w:left w:sz="4" w:val="single" w:color="D6C4A8"/>
              <w:bottom w:sz="4" w:val="single" w:color="D6C4A8"/>
              <w:right w:sz="4" w:val="single" w:color="D6C4A8"/>
            </w:tcBorders>
          </w:tcPr>
          <w:p>
            <w:pPr>
              <w:spacing w:after="20"/>
            </w:pPr>
            <w:r/>
            <w:r>
              <w:rPr>
                <w:rFonts w:ascii="Aptos" w:hAnsi="Aptos"/>
                <w:b/>
                <w:color w:val="FFFFFF"/>
                <w:sz w:val="17"/>
              </w:rPr>
              <w:t>Discussion Prompt</w:t>
            </w:r>
          </w:p>
        </w:tc>
      </w:tr>
      <w:tr>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Trust</w:t>
            </w:r>
          </w:p>
        </w:tc>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Psalm 37:3-5</w:t>
            </w:r>
          </w:p>
        </w:tc>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What would it look like to commit your way to the Lord this week?</w:t>
            </w:r>
          </w:p>
        </w:tc>
      </w:tr>
      <w:tr>
        <w:tc>
          <w:tcPr>
            <w:tcW w:type="dxa" w:w="3504"/>
            <w:shd w:fill="FFFFFF"/>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Wholehearted dependence</w:t>
            </w:r>
          </w:p>
        </w:tc>
        <w:tc>
          <w:tcPr>
            <w:tcW w:type="dxa" w:w="3504"/>
            <w:shd w:fill="FFFFFF"/>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Proverbs 3:5-6</w:t>
            </w:r>
          </w:p>
        </w:tc>
        <w:tc>
          <w:tcPr>
            <w:tcW w:type="dxa" w:w="3504"/>
            <w:shd w:fill="FFFFFF"/>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Where are you tempted to rely only on your own understanding?</w:t>
            </w:r>
          </w:p>
        </w:tc>
      </w:tr>
      <w:tr>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God as rock</w:t>
            </w:r>
          </w:p>
        </w:tc>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Isaiah 26:4</w:t>
            </w:r>
          </w:p>
        </w:tc>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How does God’s character steady faith?</w:t>
            </w:r>
          </w:p>
        </w:tc>
      </w:tr>
      <w:tr>
        <w:tc>
          <w:tcPr>
            <w:tcW w:type="dxa" w:w="3504"/>
            <w:shd w:fill="FFFFFF"/>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Faith in fear</w:t>
            </w:r>
          </w:p>
        </w:tc>
        <w:tc>
          <w:tcPr>
            <w:tcW w:type="dxa" w:w="3504"/>
            <w:shd w:fill="FFFFFF"/>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Psalm 56:3-4</w:t>
            </w:r>
          </w:p>
        </w:tc>
        <w:tc>
          <w:tcPr>
            <w:tcW w:type="dxa" w:w="3504"/>
            <w:shd w:fill="FFFFFF"/>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How can fear become a place of prayer rather than retreat?</w:t>
            </w:r>
          </w:p>
        </w:tc>
      </w:tr>
      <w:tr>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Faithfulness</w:t>
            </w:r>
          </w:p>
        </w:tc>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Revelation 2:10</w:t>
            </w:r>
          </w:p>
        </w:tc>
        <w:tc>
          <w:tcPr>
            <w:tcW w:type="dxa" w:w="3504"/>
            <w:shd w:fill="F7F1E8"/>
            <w:vAlign w:val="top"/>
            <w:tcBorders>
              <w:top w:sz="4" w:val="single" w:color="D6C4A8"/>
              <w:left w:sz="4" w:val="single" w:color="D6C4A8"/>
              <w:bottom w:sz="4" w:val="single" w:color="D6C4A8"/>
              <w:right w:sz="4" w:val="single" w:color="D6C4A8"/>
            </w:tcBorders>
          </w:tcPr>
          <w:p>
            <w:pPr>
              <w:spacing w:after="20"/>
            </w:pPr>
            <w:r/>
            <w:r>
              <w:rPr>
                <w:rFonts w:ascii="Aptos" w:hAnsi="Aptos"/>
                <w:b w:val="0"/>
                <w:color w:val="222222"/>
                <w:sz w:val="16"/>
              </w:rPr>
              <w:t>How does Christian hope help believers endure?</w:t>
            </w:r>
          </w:p>
        </w:tc>
      </w:tr>
    </w:tbl>
    <w:p>
      <w:pPr>
        <w:pStyle w:val="Heading2"/>
        <w:spacing w:before="80" w:after="40"/>
      </w:pPr>
      <w:r>
        <w:t>Discussion Questions</w:t>
      </w:r>
    </w:p>
    <w:p>
      <w:pPr>
        <w:pStyle w:val="ListBullet"/>
        <w:spacing w:after="20"/>
      </w:pPr>
      <w:r>
        <w:rPr>
          <w:rFonts w:ascii="Aptos" w:hAnsi="Aptos"/>
          <w:sz w:val="17"/>
        </w:rPr>
        <w:t>What does the repeated confession teach us about faith?</w:t>
      </w:r>
    </w:p>
    <w:p>
      <w:pPr>
        <w:pStyle w:val="ListBullet"/>
        <w:spacing w:after="20"/>
      </w:pPr>
      <w:r>
        <w:rPr>
          <w:rFonts w:ascii="Aptos" w:hAnsi="Aptos"/>
          <w:sz w:val="17"/>
        </w:rPr>
        <w:t>How do Psalm 37 and Proverbs 3 correct shallow ideas of trust?</w:t>
      </w:r>
    </w:p>
    <w:p>
      <w:pPr>
        <w:pStyle w:val="ListBullet"/>
        <w:spacing w:after="20"/>
      </w:pPr>
      <w:r>
        <w:rPr>
          <w:rFonts w:ascii="Aptos" w:hAnsi="Aptos"/>
          <w:sz w:val="17"/>
        </w:rPr>
        <w:t>Why might spirituals use repetition so powerfully in worship?</w:t>
      </w:r>
    </w:p>
    <w:p>
      <w:pPr>
        <w:pStyle w:val="ListBullet"/>
        <w:spacing w:after="20"/>
      </w:pPr>
      <w:r>
        <w:rPr>
          <w:rFonts w:ascii="Aptos" w:hAnsi="Aptos"/>
          <w:sz w:val="17"/>
        </w:rPr>
        <w:t>How does this hymn speak to believers who are anxious, weary, or under pressure?</w:t>
      </w:r>
    </w:p>
    <w:p>
      <w:pPr>
        <w:pStyle w:val="ListBullet"/>
        <w:spacing w:after="20"/>
      </w:pPr>
      <w:r>
        <w:rPr>
          <w:rFonts w:ascii="Aptos" w:hAnsi="Aptos"/>
          <w:sz w:val="17"/>
        </w:rPr>
        <w:t>What is the difference between trusting God and pretending life is easy?</w:t>
      </w:r>
    </w:p>
    <w:p>
      <w:pPr>
        <w:pStyle w:val="ListBullet"/>
        <w:spacing w:after="20"/>
      </w:pPr>
      <w:r>
        <w:rPr>
          <w:rFonts w:ascii="Aptos" w:hAnsi="Aptos"/>
          <w:sz w:val="17"/>
        </w:rPr>
        <w:t>How can your group become a community that helps one another keep trusting?</w:t>
      </w:r>
    </w:p>
    <w:p>
      <w:pPr>
        <w:pStyle w:val="ListBullet"/>
        <w:spacing w:after="20"/>
      </w:pPr>
      <w:r>
        <w:rPr>
          <w:rFonts w:ascii="Aptos" w:hAnsi="Aptos"/>
          <w:sz w:val="17"/>
        </w:rPr>
        <w:t>Where do you need to obey while waiting for God’s guidance?</w:t>
      </w:r>
    </w:p>
    <w:p>
      <w:pPr>
        <w:pStyle w:val="Heading2"/>
        <w:spacing w:before="80" w:after="40"/>
      </w:pPr>
      <w:r>
        <w:t>Practice This Week</w:t>
      </w:r>
    </w:p>
    <w:p>
      <w:pPr>
        <w:pStyle w:val="ListBullet"/>
        <w:spacing w:after="20"/>
      </w:pPr>
      <w:r>
        <w:rPr>
          <w:rFonts w:ascii="Aptos" w:hAnsi="Aptos"/>
          <w:sz w:val="17"/>
        </w:rPr>
        <w:t>Pray Psalm 37:3-5 each morning and name one matter you are committing to God.</w:t>
      </w:r>
    </w:p>
    <w:p>
      <w:pPr>
        <w:pStyle w:val="ListBullet"/>
        <w:spacing w:after="20"/>
      </w:pPr>
      <w:r>
        <w:rPr>
          <w:rFonts w:ascii="Aptos" w:hAnsi="Aptos"/>
          <w:sz w:val="17"/>
        </w:rPr>
        <w:t>Write one sentence of testimony about God’s faithfulness and share it with someone who needs courage.</w:t>
      </w:r>
    </w:p>
    <w:p>
      <w:pPr>
        <w:pStyle w:val="ListBullet"/>
        <w:spacing w:after="20"/>
      </w:pPr>
      <w:r>
        <w:rPr>
          <w:rFonts w:ascii="Aptos" w:hAnsi="Aptos"/>
          <w:sz w:val="17"/>
        </w:rPr>
        <w:t>Choose one act of obedience that matches trust: reconciliation, patience, generosity, or perseverance.</w:t>
      </w:r>
    </w:p>
    <w:p>
      <w:pPr>
        <w:pStyle w:val="ListBullet"/>
        <w:spacing w:after="20"/>
      </w:pPr>
      <w:r>
        <w:rPr>
          <w:rFonts w:ascii="Aptos" w:hAnsi="Aptos"/>
          <w:sz w:val="17"/>
        </w:rPr>
        <w:t>Before the next meeting, sing or quietly repeat the hymn’s central confession as prayer.</w:t>
      </w:r>
    </w:p>
    <w:p>
      <w:pPr>
        <w:pStyle w:val="Heading2"/>
        <w:spacing w:before="80" w:after="40"/>
      </w:pPr>
      <w:r>
        <w:t>Optional Leader Notes</w:t>
      </w:r>
    </w:p>
    <w:p>
      <w:pPr>
        <w:spacing w:after="40"/>
      </w:pPr>
      <w:r>
        <w:t>Keep the conversation grounded in Scripture, not in vague optimism. Help the group hear trust as active faith: committing, doing good, acknowledging God, and enduring with hope. When discussing the spiritual’s history, speak with respect for African American song traditions and avoid treating the hymn as merely simple or sentimental.</w:t>
      </w:r>
    </w:p>
    <w:p>
      <w:pPr>
        <w:pStyle w:val="Heading2"/>
        <w:spacing w:before="80" w:after="40"/>
      </w:pPr>
      <w:r>
        <w:t>Closing Prayer</w:t>
      </w:r>
    </w:p>
    <w:p>
      <w:r>
        <w:t>Lord, teach us to trust you with our whole heart. When fear rises, steady us. When the path is unclear, guide us. When our strength is small, hold us fast. Make our singing a true confession of faith, and make our lives a witness to your faithful care. Amen.</w:t>
      </w:r>
    </w:p>
    <w:p>
      <w:pPr>
        <w:jc w:val="center"/>
      </w:pPr>
      <w:r>
        <w:rPr>
          <w:rFonts w:ascii="Aptos" w:hAnsi="Aptos"/>
          <w:color w:val="696969"/>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20"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2A3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4495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F2A3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Will Trust in the Lord</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