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C2B16"/>
          <w:sz w:val="40"/>
        </w:rPr>
        <w:t>Jesus, Keep Me Near the Cross</w:t>
      </w:r>
    </w:p>
    <w:p>
      <w:pPr>
        <w:jc w:val="center"/>
      </w:pPr>
      <w:r>
        <w:rPr>
          <w:i/>
          <w:color w:val="9D5224"/>
          <w:sz w:val="21"/>
        </w:rPr>
        <w:t>Sermon Outline</w:t>
      </w:r>
    </w:p>
    <w:p>
      <w:pPr>
        <w:spacing w:before="40" w:after="100"/>
        <w:pBdr>
          <w:bottom w:val="single" w:sz="8" w:space="1" w:color="B87E30"/>
        </w:pBdr>
      </w:pPr>
    </w:p>
    <w:p>
      <w:pPr>
        <w:pStyle w:val="Heading2"/>
        <w:spacing w:before="100" w:after="40"/>
      </w:pPr>
      <w:r>
        <w:t>Sermon Title</w:t>
      </w:r>
    </w:p>
    <w:p>
      <w:pPr>
        <w:spacing w:after="60" w:line="252" w:lineRule="auto"/>
      </w:pPr>
      <w:r>
        <w:rPr>
          <w:color w:val="2D241E"/>
          <w:sz w:val="20"/>
        </w:rPr>
        <w:t>Near the Cross: The Only Place to Boast</w:t>
      </w:r>
    </w:p>
    <w:p>
      <w:pPr>
        <w:pStyle w:val="Heading2"/>
        <w:spacing w:before="100" w:after="40"/>
      </w:pPr>
      <w:r>
        <w:t>Main Text and Supporting Scriptures</w:t>
      </w:r>
    </w:p>
    <w:p>
      <w:pPr>
        <w:spacing w:after="60" w:line="252" w:lineRule="auto"/>
      </w:pPr>
      <w:r>
        <w:rPr>
          <w:color w:val="2D241E"/>
          <w:sz w:val="18"/>
        </w:rPr>
        <w:t>Main text: Galatians 6:14. Supporting texts: 1 Corinthians 1:18; John 19:25-27; Hebrews 12:2; Colossians 2:13-14.</w:t>
      </w:r>
    </w:p>
    <w:p>
      <w:pPr>
        <w:pStyle w:val="Heading2"/>
        <w:spacing w:before="100" w:after="40"/>
      </w:pPr>
      <w:r>
        <w:t>Big Idea</w:t>
      </w:r>
    </w:p>
    <w:p>
      <w:pPr>
        <w:spacing w:after="60" w:line="252" w:lineRule="auto"/>
      </w:pPr>
      <w:r>
        <w:rPr>
          <w:color w:val="2D241E"/>
          <w:sz w:val="19"/>
        </w:rPr>
        <w:t>The cross of Christ is not only the beginning of Christian faith; it is the center from which the whole Christian life is forgiven, humbled, strengthened, and filled with hope.</w:t>
      </w:r>
    </w:p>
    <w:p>
      <w:pPr>
        <w:pStyle w:val="Heading2"/>
        <w:spacing w:before="100" w:after="40"/>
      </w:pPr>
      <w:r>
        <w:t>Introduction</w:t>
      </w:r>
    </w:p>
    <w:p>
      <w:pPr>
        <w:spacing w:after="60" w:line="252" w:lineRule="auto"/>
      </w:pPr>
      <w:r>
        <w:rPr>
          <w:color w:val="2D241E"/>
          <w:sz w:val="18"/>
        </w:rPr>
        <w:t>Many believers know the cross as a symbol, but Paul speaks of it as his only ground of confidence. Crosby’s hymn turns that confession into a prayer: keep me near the saving mercy of Jesus, close enough to be changed by it.</w:t>
      </w:r>
    </w:p>
    <w:p>
      <w:pPr>
        <w:pStyle w:val="Heading2"/>
        <w:spacing w:before="100" w:after="40"/>
      </w:pPr>
      <w:r>
        <w:t>1. The Cross Ends Our False Boasting</w:t>
      </w:r>
    </w:p>
    <w:p>
      <w:pPr>
        <w:spacing w:after="60" w:line="252" w:lineRule="auto"/>
      </w:pPr>
      <w:r>
        <w:rPr>
          <w:color w:val="2D241E"/>
          <w:sz w:val="18"/>
        </w:rPr>
        <w:t>Explanation: Galatians 6:14 confronts every religious or personal confidence that competes with Christ. The believer does not boast in morality, success, heritage, or effort, but in the Lord who was crucified.</w:t>
      </w:r>
    </w:p>
    <w:p>
      <w:pPr>
        <w:pStyle w:val="ListBullet"/>
        <w:spacing w:after="30" w:line="240" w:lineRule="auto"/>
      </w:pPr>
      <w:r>
        <w:rPr>
          <w:color w:val="2D241E"/>
          <w:sz w:val="18"/>
        </w:rPr>
        <w:t>Hymn connection: the opening prayer asks Jesus to keep the worshiper near the cross, where pride is silenced.</w:t>
      </w:r>
    </w:p>
    <w:p>
      <w:pPr>
        <w:pStyle w:val="ListBullet"/>
        <w:spacing w:after="30" w:line="240" w:lineRule="auto"/>
      </w:pPr>
      <w:r>
        <w:rPr>
          <w:color w:val="2D241E"/>
          <w:sz w:val="18"/>
        </w:rPr>
        <w:t>Illustration idea: a trophy shelf that cannot comfort the conscience.</w:t>
      </w:r>
    </w:p>
    <w:p>
      <w:pPr>
        <w:pStyle w:val="ListBullet"/>
        <w:spacing w:after="30" w:line="240" w:lineRule="auto"/>
      </w:pPr>
      <w:r>
        <w:rPr>
          <w:color w:val="2D241E"/>
          <w:sz w:val="18"/>
        </w:rPr>
        <w:t>Application: confess where you are tempted to build worth apart from Christ.</w:t>
      </w:r>
    </w:p>
    <w:p>
      <w:pPr>
        <w:pStyle w:val="Heading2"/>
        <w:spacing w:before="100" w:after="40"/>
      </w:pPr>
      <w:r>
        <w:t>2. The Cross Reveals the Power of God</w:t>
      </w:r>
    </w:p>
    <w:p>
      <w:pPr>
        <w:spacing w:after="60" w:line="252" w:lineRule="auto"/>
      </w:pPr>
      <w:r>
        <w:rPr>
          <w:color w:val="2D241E"/>
          <w:sz w:val="18"/>
        </w:rPr>
        <w:t>Explanation: 1 Corinthians 1:18 says the word of the cross is God’s power to those being saved. What looks weak to the world is the place where God’s mercy conquers sin.</w:t>
      </w:r>
    </w:p>
    <w:p>
      <w:pPr>
        <w:pStyle w:val="ListBullet"/>
        <w:spacing w:after="30" w:line="240" w:lineRule="auto"/>
      </w:pPr>
      <w:r>
        <w:rPr>
          <w:color w:val="2D241E"/>
          <w:sz w:val="18"/>
        </w:rPr>
        <w:t>Hymn connection: the cross is treated as a place of healing grace, not defeat.</w:t>
      </w:r>
    </w:p>
    <w:p>
      <w:pPr>
        <w:pStyle w:val="ListBullet"/>
        <w:spacing w:after="30" w:line="240" w:lineRule="auto"/>
      </w:pPr>
      <w:r>
        <w:rPr>
          <w:color w:val="2D241E"/>
          <w:sz w:val="18"/>
        </w:rPr>
        <w:t>Illustration idea: a medicine that looks ordinary but carries life-saving power.</w:t>
      </w:r>
    </w:p>
    <w:p>
      <w:pPr>
        <w:pStyle w:val="ListBullet"/>
        <w:spacing w:after="30" w:line="240" w:lineRule="auto"/>
      </w:pPr>
      <w:r>
        <w:rPr>
          <w:color w:val="2D241E"/>
          <w:sz w:val="18"/>
        </w:rPr>
        <w:t>Application: do not outgrow the gospel; return to it daily.</w:t>
      </w:r>
    </w:p>
    <w:p>
      <w:pPr>
        <w:pStyle w:val="Heading2"/>
        <w:spacing w:before="100" w:after="40"/>
      </w:pPr>
      <w:r>
        <w:t>3. The Cross Draws the Sinner Near</w:t>
      </w:r>
    </w:p>
    <w:p>
      <w:pPr>
        <w:spacing w:after="60" w:line="252" w:lineRule="auto"/>
      </w:pPr>
      <w:r>
        <w:rPr>
          <w:color w:val="2D241E"/>
          <w:sz w:val="18"/>
        </w:rPr>
        <w:t>Explanation: John 19 places people standing near the cross of Jesus. The hymn borrows that posture devotionally: the sinner does not flee from mercy but stays close to Christ.</w:t>
      </w:r>
    </w:p>
    <w:p>
      <w:pPr>
        <w:pStyle w:val="ListBullet"/>
        <w:spacing w:after="30" w:line="240" w:lineRule="auto"/>
      </w:pPr>
      <w:r>
        <w:rPr>
          <w:color w:val="2D241E"/>
          <w:sz w:val="18"/>
        </w:rPr>
        <w:t>Hymn connection: nearness to the cross becomes the posture of repentance, gratitude, and trust.</w:t>
      </w:r>
    </w:p>
    <w:p>
      <w:pPr>
        <w:pStyle w:val="ListBullet"/>
        <w:spacing w:after="30" w:line="240" w:lineRule="auto"/>
      </w:pPr>
      <w:r>
        <w:rPr>
          <w:color w:val="2D241E"/>
          <w:sz w:val="18"/>
        </w:rPr>
        <w:t>Illustration idea: a child who runs toward a parent instead of hiding after failure.</w:t>
      </w:r>
    </w:p>
    <w:p>
      <w:pPr>
        <w:pStyle w:val="ListBullet"/>
        <w:spacing w:after="30" w:line="240" w:lineRule="auto"/>
      </w:pPr>
      <w:r>
        <w:rPr>
          <w:color w:val="2D241E"/>
          <w:sz w:val="18"/>
        </w:rPr>
        <w:t>Application: bring guilt, grief, and shame into the light of Christ’s mercy.</w:t>
      </w:r>
    </w:p>
    <w:p>
      <w:pPr>
        <w:pStyle w:val="Heading2"/>
        <w:spacing w:before="100" w:after="40"/>
      </w:pPr>
      <w:r>
        <w:t>4. The Cross Carries Us Toward Hope</w:t>
      </w:r>
    </w:p>
    <w:p>
      <w:pPr>
        <w:spacing w:after="60" w:line="252" w:lineRule="auto"/>
      </w:pPr>
      <w:r>
        <w:rPr>
          <w:color w:val="2D241E"/>
          <w:sz w:val="18"/>
        </w:rPr>
        <w:t>Explanation: Hebrews 12:2 shows Jesus enduring the cross for the joy set before him. Christian hope is not wishful thinking; it is anchored in the crucified and risen Lord.</w:t>
      </w:r>
    </w:p>
    <w:p>
      <w:pPr>
        <w:pStyle w:val="ListBullet"/>
        <w:spacing w:after="30" w:line="240" w:lineRule="auto"/>
      </w:pPr>
      <w:r>
        <w:rPr>
          <w:color w:val="2D241E"/>
          <w:sz w:val="18"/>
        </w:rPr>
        <w:t>Hymn connection: the final movement points toward rest beyond the present struggle.</w:t>
      </w:r>
    </w:p>
    <w:p>
      <w:pPr>
        <w:pStyle w:val="ListBullet"/>
        <w:spacing w:after="30" w:line="240" w:lineRule="auto"/>
      </w:pPr>
      <w:r>
        <w:rPr>
          <w:color w:val="2D241E"/>
          <w:sz w:val="18"/>
        </w:rPr>
        <w:t>Illustration idea: a weary traveler guided by a distant light.</w:t>
      </w:r>
    </w:p>
    <w:p>
      <w:pPr>
        <w:pStyle w:val="ListBullet"/>
        <w:spacing w:after="30" w:line="240" w:lineRule="auto"/>
      </w:pPr>
      <w:r>
        <w:rPr>
          <w:color w:val="2D241E"/>
          <w:sz w:val="18"/>
        </w:rPr>
        <w:t>Application: encourage the suffering to look to Jesus without minimizing pain.</w:t>
      </w:r>
    </w:p>
    <w:p>
      <w:pPr>
        <w:pStyle w:val="Heading2"/>
        <w:spacing w:before="100" w:after="40"/>
      </w:pPr>
      <w:r>
        <w:t>Christ-Centered Connection</w:t>
      </w:r>
    </w:p>
    <w:p>
      <w:pPr>
        <w:spacing w:after="60" w:line="252" w:lineRule="auto"/>
      </w:pPr>
      <w:r>
        <w:rPr>
          <w:color w:val="2D241E"/>
          <w:sz w:val="18"/>
        </w:rPr>
        <w:t>Christ is not merely the example of cross-bearing; he is the Savior whose cross bears sin away. Colossians 2 says the record against us was nailed to the cross. The sermon should make this good news explicit before calling people to response.</w:t>
      </w:r>
    </w:p>
    <w:p>
      <w:pPr>
        <w:pStyle w:val="Heading2"/>
        <w:spacing w:before="100" w:after="40"/>
      </w:pPr>
      <w:r>
        <w:t>Pastoral Applications</w:t>
      </w:r>
    </w:p>
    <w:tbl>
      <w:tblPr>
        <w:tblStyle w:val="TableGrid"/>
        <w:tblW w:type="auto" w:w="0"/>
        <w:jc w:val="center"/>
        <w:tblLook w:firstColumn="1" w:firstRow="1" w:lastColumn="0" w:lastRow="0" w:noHBand="0" w:noVBand="1" w:val="04A0"/>
      </w:tblPr>
      <w:tblGrid>
        <w:gridCol w:w="5227"/>
        <w:gridCol w:w="5227"/>
      </w:tblGrid>
      <w:tr>
        <w:tc>
          <w:tcPr>
            <w:tcW w:type="dxa" w:w="5227"/>
            <w:shd w:fill="5C2B16"/>
          </w:tcPr>
          <w:p>
            <w:pPr>
              <w:spacing w:after="0"/>
            </w:pPr>
            <w:r/>
            <w:r>
              <w:rPr>
                <w:b/>
                <w:color w:val="FFFFFF"/>
                <w:sz w:val="17"/>
              </w:rPr>
              <w:t>Listener</w:t>
            </w:r>
          </w:p>
        </w:tc>
        <w:tc>
          <w:tcPr>
            <w:tcW w:type="dxa" w:w="5227"/>
            <w:shd w:fill="5C2B16"/>
          </w:tcPr>
          <w:p>
            <w:pPr>
              <w:spacing w:after="0"/>
            </w:pPr>
            <w:r/>
            <w:r>
              <w:rPr>
                <w:b/>
                <w:color w:val="FFFFFF"/>
                <w:sz w:val="17"/>
              </w:rPr>
              <w:t>Pastoral Word</w:t>
            </w:r>
          </w:p>
        </w:tc>
      </w:tr>
      <w:tr>
        <w:tc>
          <w:tcPr>
            <w:tcW w:type="dxa" w:w="5227"/>
            <w:vAlign w:val="top"/>
          </w:tcPr>
          <w:p>
            <w:pPr>
              <w:spacing w:after="0"/>
            </w:pPr>
            <w:r/>
            <w:r>
              <w:rPr>
                <w:b w:val="0"/>
                <w:color w:val="2D241E"/>
                <w:sz w:val="17"/>
              </w:rPr>
              <w:t>Anxious</w:t>
            </w:r>
          </w:p>
        </w:tc>
        <w:tc>
          <w:tcPr>
            <w:tcW w:type="dxa" w:w="5227"/>
            <w:vAlign w:val="top"/>
          </w:tcPr>
          <w:p>
            <w:pPr>
              <w:spacing w:after="0"/>
            </w:pPr>
            <w:r/>
            <w:r>
              <w:rPr>
                <w:b w:val="0"/>
                <w:color w:val="2D241E"/>
                <w:sz w:val="17"/>
              </w:rPr>
              <w:t>The cross shows that the Father has not forgotten you.</w:t>
            </w:r>
          </w:p>
        </w:tc>
      </w:tr>
      <w:tr>
        <w:tc>
          <w:tcPr>
            <w:tcW w:type="dxa" w:w="5227"/>
            <w:vAlign w:val="top"/>
          </w:tcPr>
          <w:p>
            <w:pPr>
              <w:spacing w:after="0"/>
            </w:pPr>
            <w:r/>
            <w:r>
              <w:rPr>
                <w:b w:val="0"/>
                <w:color w:val="2D241E"/>
                <w:sz w:val="17"/>
              </w:rPr>
              <w:t>Repentant</w:t>
            </w:r>
          </w:p>
        </w:tc>
        <w:tc>
          <w:tcPr>
            <w:tcW w:type="dxa" w:w="5227"/>
            <w:vAlign w:val="top"/>
          </w:tcPr>
          <w:p>
            <w:pPr>
              <w:spacing w:after="0"/>
            </w:pPr>
            <w:r/>
            <w:r>
              <w:rPr>
                <w:b w:val="0"/>
                <w:color w:val="2D241E"/>
                <w:sz w:val="17"/>
              </w:rPr>
              <w:t>Come near; mercy is not exhausted.</w:t>
            </w:r>
          </w:p>
        </w:tc>
      </w:tr>
      <w:tr>
        <w:tc>
          <w:tcPr>
            <w:tcW w:type="dxa" w:w="5227"/>
            <w:vAlign w:val="top"/>
          </w:tcPr>
          <w:p>
            <w:pPr>
              <w:spacing w:after="0"/>
            </w:pPr>
            <w:r/>
            <w:r>
              <w:rPr>
                <w:b w:val="0"/>
                <w:color w:val="2D241E"/>
                <w:sz w:val="17"/>
              </w:rPr>
              <w:t>Weary</w:t>
            </w:r>
          </w:p>
        </w:tc>
        <w:tc>
          <w:tcPr>
            <w:tcW w:type="dxa" w:w="5227"/>
            <w:vAlign w:val="top"/>
          </w:tcPr>
          <w:p>
            <w:pPr>
              <w:spacing w:after="0"/>
            </w:pPr>
            <w:r/>
            <w:r>
              <w:rPr>
                <w:b w:val="0"/>
                <w:color w:val="2D241E"/>
                <w:sz w:val="17"/>
              </w:rPr>
              <w:t>Jesus endured shame and sorrow before you and for you.</w:t>
            </w:r>
          </w:p>
        </w:tc>
      </w:tr>
      <w:tr>
        <w:tc>
          <w:tcPr>
            <w:tcW w:type="dxa" w:w="5227"/>
            <w:vAlign w:val="top"/>
          </w:tcPr>
          <w:p>
            <w:pPr>
              <w:spacing w:after="0"/>
            </w:pPr>
            <w:r/>
            <w:r>
              <w:rPr>
                <w:b w:val="0"/>
                <w:color w:val="2D241E"/>
                <w:sz w:val="17"/>
              </w:rPr>
              <w:t>Proud</w:t>
            </w:r>
          </w:p>
        </w:tc>
        <w:tc>
          <w:tcPr>
            <w:tcW w:type="dxa" w:w="5227"/>
            <w:vAlign w:val="top"/>
          </w:tcPr>
          <w:p>
            <w:pPr>
              <w:spacing w:after="0"/>
            </w:pPr>
            <w:r/>
            <w:r>
              <w:rPr>
                <w:b w:val="0"/>
                <w:color w:val="2D241E"/>
                <w:sz w:val="17"/>
              </w:rPr>
              <w:t>The cross leaves no room for self-made glory.</w:t>
            </w:r>
          </w:p>
        </w:tc>
      </w:tr>
      <w:tr>
        <w:tc>
          <w:tcPr>
            <w:tcW w:type="dxa" w:w="5227"/>
            <w:vAlign w:val="top"/>
          </w:tcPr>
          <w:p>
            <w:pPr>
              <w:spacing w:after="0"/>
            </w:pPr>
            <w:r/>
            <w:r>
              <w:rPr>
                <w:b w:val="0"/>
                <w:color w:val="2D241E"/>
                <w:sz w:val="17"/>
              </w:rPr>
              <w:t>Serving</w:t>
            </w:r>
          </w:p>
        </w:tc>
        <w:tc>
          <w:tcPr>
            <w:tcW w:type="dxa" w:w="5227"/>
            <w:vAlign w:val="top"/>
          </w:tcPr>
          <w:p>
            <w:pPr>
              <w:spacing w:after="0"/>
            </w:pPr>
            <w:r/>
            <w:r>
              <w:rPr>
                <w:b w:val="0"/>
                <w:color w:val="2D241E"/>
                <w:sz w:val="17"/>
              </w:rPr>
              <w:t>Cruciform love becomes the shape of faithful ministry.</w:t>
            </w:r>
          </w:p>
        </w:tc>
      </w:tr>
    </w:tbl>
    <w:p>
      <w:pPr>
        <w:pStyle w:val="Heading2"/>
        <w:spacing w:before="100" w:after="40"/>
      </w:pPr>
      <w:r>
        <w:t>Conclusion and Call to Response</w:t>
      </w:r>
    </w:p>
    <w:p>
      <w:pPr>
        <w:spacing w:after="60" w:line="252" w:lineRule="auto"/>
      </w:pPr>
      <w:r>
        <w:rPr>
          <w:color w:val="2D241E"/>
          <w:sz w:val="18"/>
        </w:rPr>
        <w:t>Call the congregation to stand near the cross in faith: repent honestly, receive mercy gratefully, and boast only in Jesus Christ. The hymn’s prayer becomes the church’s response: keep us near the place where grace is seen most clearly.</w:t>
      </w:r>
    </w:p>
    <w:p>
      <w:pPr>
        <w:pStyle w:val="Heading2"/>
        <w:spacing w:before="100" w:after="40"/>
      </w:pPr>
      <w:r>
        <w:t>Suggested Closing Prayer</w:t>
      </w:r>
    </w:p>
    <w:p>
      <w:pPr>
        <w:spacing w:after="60" w:line="252" w:lineRule="auto"/>
      </w:pPr>
      <w:r>
        <w:rPr>
          <w:color w:val="2D241E"/>
          <w:sz w:val="18"/>
        </w:rPr>
        <w:t>Crucified and risen Lord, bring us near to your cross. Strip away our false boasting, forgive our sins, heal our pride, and teach us to live by the mercy you have won. Amen.</w:t>
      </w:r>
    </w:p>
    <w:p>
      <w:pPr>
        <w:spacing w:before="40" w:after="100"/>
        <w:pBdr>
          <w:bottom w:val="single" w:sz="8" w:space="1" w:color="B87E30"/>
        </w:pBdr>
      </w:pPr>
    </w:p>
    <w:p>
      <w:pPr>
        <w:spacing w:after="0"/>
        <w:jc w:val="center"/>
      </w:pPr>
      <w:r>
        <w:rPr>
          <w:color w:val="64554B"/>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554B"/>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5C2B16"/>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5C2B16"/>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5C2B1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