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pPr>
      <w:r>
        <w:rPr>
          <w:rFonts w:ascii="Aptos Display" w:hAnsi="Aptos Display"/>
          <w:b/>
          <w:color w:val="243447"/>
          <w:sz w:val="42"/>
        </w:rPr>
        <w:t>Near to the Heart of God</w:t>
      </w:r>
    </w:p>
    <w:p>
      <w:pPr>
        <w:spacing w:after="140"/>
        <w:jc w:val="center"/>
      </w:pPr>
      <w:r>
        <w:rPr>
          <w:i/>
          <w:color w:val="555555"/>
          <w:sz w:val="21"/>
        </w:rPr>
        <w:t>Small Group Handout</w:t>
      </w:r>
    </w:p>
    <w:p>
      <w:r>
        <w:rPr>
          <w:b/>
        </w:rPr>
        <w:t xml:space="preserve">Purpose: </w:t>
      </w:r>
      <w:r>
        <w:t>To help a group receive this hymn as a prayer for rest, comfort, peace, and nearness to God through Christ the Redeemer.</w:t>
      </w:r>
    </w:p>
    <w:p>
      <w:pPr>
        <w:pStyle w:val="Heading1"/>
        <w:spacing w:before="100" w:after="40"/>
      </w:pPr>
      <w:r>
        <w:t>Opening Reflection</w:t>
      </w:r>
    </w:p>
    <w:p>
      <w:pPr>
        <w:pStyle w:val="CompactList"/>
      </w:pPr>
      <w:r>
        <w:rPr>
          <w:b/>
        </w:rPr>
        <w:t xml:space="preserve">• </w:t>
      </w:r>
      <w:r>
        <w:t>Where do you most often look for rest when your heart is heavy?</w:t>
      </w:r>
    </w:p>
    <w:p>
      <w:pPr>
        <w:pStyle w:val="CompactList"/>
      </w:pPr>
      <w:r>
        <w:rPr>
          <w:b/>
        </w:rPr>
        <w:t xml:space="preserve">• </w:t>
      </w:r>
      <w:r>
        <w:t>What makes comfort feel truthful rather than shallow?</w:t>
      </w:r>
    </w:p>
    <w:p>
      <w:pPr>
        <w:pStyle w:val="CompactList"/>
      </w:pPr>
      <w:r>
        <w:rPr>
          <w:b/>
        </w:rPr>
        <w:t xml:space="preserve">• </w:t>
      </w:r>
      <w:r>
        <w:t>When has quiet prayer helped you face sorrow or anxiety?</w:t>
      </w:r>
    </w:p>
    <w:p>
      <w:pPr>
        <w:pStyle w:val="Heading1"/>
        <w:spacing w:before="100" w:after="40"/>
      </w:pPr>
      <w:r>
        <w:t>Brief Hymn Background</w:t>
      </w:r>
    </w:p>
    <w:p>
      <w:r>
        <w:rPr>
          <w:i/>
        </w:rPr>
        <w:t>Near to the Heart of God</w:t>
      </w:r>
      <w:r>
        <w:t xml:space="preserve"> was written in 1903 by Cleland Boyd McAfee, a Presbyterian minister, theologian, educator, choir director, and hymn writer. McAfee wrote both the text and the tune, now commonly called MCAFEE.</w:t>
      </w:r>
    </w:p>
    <w:p>
      <w:r>
        <w:t>The hymn is tied to a family tragedy: the deaths of two young nieces from diphtheria. The traditional account says McAfee taught the hymn to his choir and that it was sung as a message of comfort near the quarantined family home before entering wider church use.</w:t>
      </w:r>
    </w:p>
    <w:p>
      <w:r>
        <w:rPr>
          <w:b/>
        </w:rPr>
        <w:t xml:space="preserve">Hymn identity: </w:t>
      </w:r>
      <w:r>
        <w:t>First line: “There is a place of quiet rest”; tune: MCAFEE; meter often listed as 8.6.8.6 with refrain; written in 1903.</w:t>
      </w:r>
    </w:p>
    <w:p>
      <w:pPr>
        <w:pStyle w:val="Heading1"/>
        <w:spacing w:before="100" w:after="40"/>
      </w:pPr>
      <w:r>
        <w:t>Primary Scripture and Supporting Passages</w:t>
      </w:r>
    </w:p>
    <w:tbl>
      <w:tblPr>
        <w:tblStyle w:val="TableGrid"/>
        <w:tblW w:type="auto" w:w="0"/>
        <w:jc w:val="center"/>
        <w:tblLook w:firstColumn="1" w:firstRow="1" w:lastColumn="0" w:lastRow="0" w:noHBand="0" w:noVBand="1" w:val="04A0"/>
      </w:tblPr>
      <w:tblGrid>
        <w:gridCol w:w="5285"/>
        <w:gridCol w:w="5285"/>
      </w:tblGrid>
      <w:tr>
        <w:tc>
          <w:tcPr>
            <w:tcW w:type="dxa" w:w="5285"/>
            <w:vAlign w:val="center"/>
            <w:shd w:fill="243447"/>
          </w:tcPr>
          <w:p>
            <w:pPr>
              <w:spacing w:after="0"/>
            </w:pPr>
            <w:r/>
            <w:r>
              <w:rPr>
                <w:rFonts w:ascii="Aptos" w:hAnsi="Aptos"/>
                <w:b/>
                <w:color w:val="FFFFFF"/>
                <w:sz w:val="18"/>
              </w:rPr>
              <w:t>Scripture</w:t>
            </w:r>
          </w:p>
        </w:tc>
        <w:tc>
          <w:tcPr>
            <w:tcW w:type="dxa" w:w="5285"/>
            <w:vAlign w:val="center"/>
            <w:shd w:fill="243447"/>
          </w:tcPr>
          <w:p>
            <w:pPr>
              <w:spacing w:after="0"/>
            </w:pPr>
            <w:r/>
            <w:r>
              <w:rPr>
                <w:rFonts w:ascii="Aptos" w:hAnsi="Aptos"/>
                <w:b/>
                <w:color w:val="FFFFFF"/>
                <w:sz w:val="18"/>
              </w:rPr>
              <w:t>Connection for Study</w:t>
            </w:r>
          </w:p>
        </w:tc>
      </w:tr>
      <w:tr>
        <w:tc>
          <w:tcPr>
            <w:tcW w:type="dxa" w:w="5285"/>
            <w:vAlign w:val="center"/>
          </w:tcPr>
          <w:p>
            <w:pPr>
              <w:spacing w:after="0"/>
            </w:pPr>
            <w:r/>
            <w:r>
              <w:rPr>
                <w:rFonts w:ascii="Aptos" w:hAnsi="Aptos"/>
                <w:b/>
                <w:color w:val="1F2A44"/>
                <w:sz w:val="18"/>
              </w:rPr>
              <w:t>Matthew 11:28</w:t>
            </w:r>
          </w:p>
        </w:tc>
        <w:tc>
          <w:tcPr>
            <w:tcW w:type="dxa" w:w="5285"/>
            <w:vAlign w:val="center"/>
          </w:tcPr>
          <w:p>
            <w:pPr>
              <w:spacing w:after="0"/>
            </w:pPr>
            <w:r/>
            <w:r>
              <w:rPr>
                <w:rFonts w:ascii="Aptos" w:hAnsi="Aptos"/>
                <w:b w:val="0"/>
                <w:color w:val="1F2A44"/>
                <w:sz w:val="18"/>
              </w:rPr>
              <w:t>Christ invites the burdened to come to him for rest.</w:t>
            </w:r>
          </w:p>
        </w:tc>
      </w:tr>
      <w:tr>
        <w:tc>
          <w:tcPr>
            <w:tcW w:type="dxa" w:w="5285"/>
            <w:vAlign w:val="center"/>
          </w:tcPr>
          <w:p>
            <w:pPr>
              <w:spacing w:after="0"/>
            </w:pPr>
            <w:r/>
            <w:r>
              <w:rPr>
                <w:rFonts w:ascii="Aptos" w:hAnsi="Aptos"/>
                <w:b/>
                <w:color w:val="1F2A44"/>
                <w:sz w:val="18"/>
              </w:rPr>
              <w:t>James 4:8</w:t>
            </w:r>
          </w:p>
        </w:tc>
        <w:tc>
          <w:tcPr>
            <w:tcW w:type="dxa" w:w="5285"/>
            <w:vAlign w:val="center"/>
          </w:tcPr>
          <w:p>
            <w:pPr>
              <w:spacing w:after="0"/>
            </w:pPr>
            <w:r/>
            <w:r>
              <w:rPr>
                <w:rFonts w:ascii="Aptos" w:hAnsi="Aptos"/>
                <w:b w:val="0"/>
                <w:color w:val="1F2A44"/>
                <w:sz w:val="18"/>
              </w:rPr>
              <w:t>Those who draw near to God are met by divine nearness.</w:t>
            </w:r>
          </w:p>
        </w:tc>
      </w:tr>
      <w:tr>
        <w:tc>
          <w:tcPr>
            <w:tcW w:type="dxa" w:w="5285"/>
            <w:vAlign w:val="center"/>
          </w:tcPr>
          <w:p>
            <w:pPr>
              <w:spacing w:after="0"/>
            </w:pPr>
            <w:r/>
            <w:r>
              <w:rPr>
                <w:rFonts w:ascii="Aptos" w:hAnsi="Aptos"/>
                <w:b/>
                <w:color w:val="1F2A44"/>
                <w:sz w:val="18"/>
              </w:rPr>
              <w:t>Psalm 46:10</w:t>
            </w:r>
          </w:p>
        </w:tc>
        <w:tc>
          <w:tcPr>
            <w:tcW w:type="dxa" w:w="5285"/>
            <w:vAlign w:val="center"/>
          </w:tcPr>
          <w:p>
            <w:pPr>
              <w:spacing w:after="0"/>
            </w:pPr>
            <w:r/>
            <w:r>
              <w:rPr>
                <w:rFonts w:ascii="Aptos" w:hAnsi="Aptos"/>
                <w:b w:val="0"/>
                <w:color w:val="1F2A44"/>
                <w:sz w:val="18"/>
              </w:rPr>
              <w:t>Stillness before God becomes an act of trust.</w:t>
            </w:r>
          </w:p>
        </w:tc>
      </w:tr>
      <w:tr>
        <w:tc>
          <w:tcPr>
            <w:tcW w:type="dxa" w:w="5285"/>
            <w:vAlign w:val="center"/>
          </w:tcPr>
          <w:p>
            <w:pPr>
              <w:spacing w:after="0"/>
            </w:pPr>
            <w:r/>
            <w:r>
              <w:rPr>
                <w:rFonts w:ascii="Aptos" w:hAnsi="Aptos"/>
                <w:b/>
                <w:color w:val="1F2A44"/>
                <w:sz w:val="18"/>
              </w:rPr>
              <w:t>John 14:27</w:t>
            </w:r>
          </w:p>
        </w:tc>
        <w:tc>
          <w:tcPr>
            <w:tcW w:type="dxa" w:w="5285"/>
            <w:vAlign w:val="center"/>
          </w:tcPr>
          <w:p>
            <w:pPr>
              <w:spacing w:after="0"/>
            </w:pPr>
            <w:r/>
            <w:r>
              <w:rPr>
                <w:rFonts w:ascii="Aptos" w:hAnsi="Aptos"/>
                <w:b w:val="0"/>
                <w:color w:val="1F2A44"/>
                <w:sz w:val="18"/>
              </w:rPr>
              <w:t>Christ gives peace deeper than outward circumstances.</w:t>
            </w:r>
          </w:p>
        </w:tc>
      </w:tr>
      <w:tr>
        <w:tc>
          <w:tcPr>
            <w:tcW w:type="dxa" w:w="5285"/>
            <w:vAlign w:val="center"/>
          </w:tcPr>
          <w:p>
            <w:pPr>
              <w:spacing w:after="0"/>
            </w:pPr>
            <w:r/>
            <w:r>
              <w:rPr>
                <w:rFonts w:ascii="Aptos" w:hAnsi="Aptos"/>
                <w:b/>
                <w:color w:val="1F2A44"/>
                <w:sz w:val="18"/>
              </w:rPr>
              <w:t>Philippians 4:6-7</w:t>
            </w:r>
          </w:p>
        </w:tc>
        <w:tc>
          <w:tcPr>
            <w:tcW w:type="dxa" w:w="5285"/>
            <w:vAlign w:val="center"/>
          </w:tcPr>
          <w:p>
            <w:pPr>
              <w:spacing w:after="0"/>
            </w:pPr>
            <w:r/>
            <w:r>
              <w:rPr>
                <w:rFonts w:ascii="Aptos" w:hAnsi="Aptos"/>
                <w:b w:val="0"/>
                <w:color w:val="1F2A44"/>
                <w:sz w:val="18"/>
              </w:rPr>
              <w:t>Prayer brings anxious hearts under the guard of God’s peace.</w:t>
            </w:r>
          </w:p>
        </w:tc>
      </w:tr>
      <w:tr>
        <w:tc>
          <w:tcPr>
            <w:tcW w:type="dxa" w:w="5285"/>
            <w:vAlign w:val="center"/>
          </w:tcPr>
          <w:p>
            <w:pPr>
              <w:spacing w:after="0"/>
            </w:pPr>
            <w:r/>
            <w:r>
              <w:rPr>
                <w:rFonts w:ascii="Aptos" w:hAnsi="Aptos"/>
                <w:b/>
                <w:color w:val="1F2A44"/>
                <w:sz w:val="18"/>
              </w:rPr>
              <w:t>Psalm 73:25-26</w:t>
            </w:r>
          </w:p>
        </w:tc>
        <w:tc>
          <w:tcPr>
            <w:tcW w:type="dxa" w:w="5285"/>
            <w:vAlign w:val="center"/>
          </w:tcPr>
          <w:p>
            <w:pPr>
              <w:spacing w:after="0"/>
            </w:pPr>
            <w:r/>
            <w:r>
              <w:rPr>
                <w:rFonts w:ascii="Aptos" w:hAnsi="Aptos"/>
                <w:b w:val="0"/>
                <w:color w:val="1F2A44"/>
                <w:sz w:val="18"/>
              </w:rPr>
              <w:t>God himself is the believer’s strength and portion.</w:t>
            </w:r>
          </w:p>
        </w:tc>
      </w:tr>
    </w:tbl>
    <w:p>
      <w:pPr>
        <w:pStyle w:val="Heading1"/>
        <w:spacing w:before="100" w:after="40"/>
      </w:pPr>
      <w:r>
        <w:t>Hymn-Section Study</w:t>
      </w:r>
    </w:p>
    <w:p>
      <w:r>
        <w:rPr>
          <w:b/>
        </w:rPr>
        <w:t xml:space="preserve">A place of quiet rest: </w:t>
      </w:r>
      <w:r>
        <w:t>The hymn begins by naming God’s presence as a refuge for the weary. It does not erase grief; it gives grief somewhere to go.</w:t>
      </w:r>
    </w:p>
    <w:p>
      <w:r>
        <w:rPr>
          <w:b/>
        </w:rPr>
        <w:t xml:space="preserve">Comfort for wounded hearts: </w:t>
      </w:r>
      <w:r>
        <w:t>The hymn’s comfort is not sentimental. It is rooted in God’s nearness and Christ’s redeeming care.</w:t>
      </w:r>
    </w:p>
    <w:p>
      <w:r>
        <w:rPr>
          <w:b/>
        </w:rPr>
        <w:t xml:space="preserve">Release, joy, and peace: </w:t>
      </w:r>
      <w:r>
        <w:t>The hymn moves from rest to restoration. Prayer near God’s heart becomes a place where burdens can be held honestly before Christ.</w:t>
      </w:r>
    </w:p>
    <w:p>
      <w:r>
        <w:rPr>
          <w:b/>
        </w:rPr>
        <w:t xml:space="preserve">Waiting before the Redeemer: </w:t>
      </w:r>
      <w:r>
        <w:t>The refrain is best heard as prayer: Christ holds the believer near God, especially when words are few and sorrow is deep.</w:t>
      </w:r>
    </w:p>
    <w:p>
      <w:pPr>
        <w:pStyle w:val="Heading1"/>
        <w:spacing w:before="100" w:after="40"/>
      </w:pPr>
      <w:r>
        <w:t>Study Table</w:t>
      </w:r>
    </w:p>
    <w:tbl>
      <w:tblPr>
        <w:tblStyle w:val="TableGrid"/>
        <w:tblW w:type="auto" w:w="0"/>
        <w:jc w:val="center"/>
        <w:tblLook w:firstColumn="1" w:firstRow="1" w:lastColumn="0" w:lastRow="0" w:noHBand="0" w:noVBand="1" w:val="04A0"/>
      </w:tblPr>
      <w:tblGrid>
        <w:gridCol w:w="3523"/>
        <w:gridCol w:w="3523"/>
        <w:gridCol w:w="3523"/>
      </w:tblGrid>
      <w:tr>
        <w:tc>
          <w:tcPr>
            <w:tcW w:type="dxa" w:w="3523"/>
            <w:vAlign w:val="center"/>
            <w:shd w:fill="6B4E2E"/>
          </w:tcPr>
          <w:p>
            <w:pPr>
              <w:spacing w:after="0"/>
            </w:pPr>
            <w:r/>
            <w:r>
              <w:rPr>
                <w:rFonts w:ascii="Aptos" w:hAnsi="Aptos"/>
                <w:b/>
                <w:color w:val="FFFFFF"/>
                <w:sz w:val="18"/>
              </w:rPr>
              <w:t>Hymn Theme</w:t>
            </w:r>
          </w:p>
        </w:tc>
        <w:tc>
          <w:tcPr>
            <w:tcW w:type="dxa" w:w="3523"/>
            <w:vAlign w:val="center"/>
            <w:shd w:fill="6B4E2E"/>
          </w:tcPr>
          <w:p>
            <w:pPr>
              <w:spacing w:after="0"/>
            </w:pPr>
            <w:r/>
            <w:r>
              <w:rPr>
                <w:rFonts w:ascii="Aptos" w:hAnsi="Aptos"/>
                <w:b/>
                <w:color w:val="FFFFFF"/>
                <w:sz w:val="18"/>
              </w:rPr>
              <w:t>Scripture Connection</w:t>
            </w:r>
          </w:p>
        </w:tc>
        <w:tc>
          <w:tcPr>
            <w:tcW w:type="dxa" w:w="3523"/>
            <w:vAlign w:val="center"/>
            <w:shd w:fill="6B4E2E"/>
          </w:tcPr>
          <w:p>
            <w:pPr>
              <w:spacing w:after="0"/>
            </w:pPr>
            <w:r/>
            <w:r>
              <w:rPr>
                <w:rFonts w:ascii="Aptos" w:hAnsi="Aptos"/>
                <w:b/>
                <w:color w:val="FFFFFF"/>
                <w:sz w:val="18"/>
              </w:rPr>
              <w:t>Discussion Prompt</w:t>
            </w:r>
          </w:p>
        </w:tc>
      </w:tr>
      <w:tr>
        <w:tc>
          <w:tcPr>
            <w:tcW w:type="dxa" w:w="3523"/>
            <w:vAlign w:val="center"/>
          </w:tcPr>
          <w:p>
            <w:pPr>
              <w:spacing w:after="0"/>
            </w:pPr>
            <w:r/>
            <w:r>
              <w:rPr>
                <w:rFonts w:ascii="Aptos" w:hAnsi="Aptos"/>
                <w:b w:val="0"/>
                <w:color w:val="1F2A44"/>
                <w:sz w:val="18"/>
              </w:rPr>
              <w:t>Rest in Christ</w:t>
            </w:r>
          </w:p>
        </w:tc>
        <w:tc>
          <w:tcPr>
            <w:tcW w:type="dxa" w:w="3523"/>
            <w:vAlign w:val="center"/>
          </w:tcPr>
          <w:p>
            <w:pPr>
              <w:spacing w:after="0"/>
            </w:pPr>
            <w:r/>
            <w:r>
              <w:rPr>
                <w:rFonts w:ascii="Aptos" w:hAnsi="Aptos"/>
                <w:b w:val="0"/>
                <w:color w:val="1F2A44"/>
                <w:sz w:val="18"/>
              </w:rPr>
              <w:t>Matthew 11:28</w:t>
            </w:r>
          </w:p>
        </w:tc>
        <w:tc>
          <w:tcPr>
            <w:tcW w:type="dxa" w:w="3523"/>
            <w:vAlign w:val="center"/>
          </w:tcPr>
          <w:p>
            <w:pPr>
              <w:spacing w:after="0"/>
            </w:pPr>
            <w:r/>
            <w:r>
              <w:rPr>
                <w:rFonts w:ascii="Aptos" w:hAnsi="Aptos"/>
                <w:b w:val="0"/>
                <w:color w:val="1F2A44"/>
                <w:sz w:val="18"/>
              </w:rPr>
              <w:t>What burdens need to be brought honestly to Jesus?</w:t>
            </w:r>
          </w:p>
        </w:tc>
      </w:tr>
      <w:tr>
        <w:tc>
          <w:tcPr>
            <w:tcW w:type="dxa" w:w="3523"/>
            <w:vAlign w:val="center"/>
          </w:tcPr>
          <w:p>
            <w:pPr>
              <w:spacing w:after="0"/>
            </w:pPr>
            <w:r/>
            <w:r>
              <w:rPr>
                <w:rFonts w:ascii="Aptos" w:hAnsi="Aptos"/>
                <w:b w:val="0"/>
                <w:color w:val="1F2A44"/>
                <w:sz w:val="18"/>
              </w:rPr>
              <w:t>Divine nearness</w:t>
            </w:r>
          </w:p>
        </w:tc>
        <w:tc>
          <w:tcPr>
            <w:tcW w:type="dxa" w:w="3523"/>
            <w:vAlign w:val="center"/>
          </w:tcPr>
          <w:p>
            <w:pPr>
              <w:spacing w:after="0"/>
            </w:pPr>
            <w:r/>
            <w:r>
              <w:rPr>
                <w:rFonts w:ascii="Aptos" w:hAnsi="Aptos"/>
                <w:b w:val="0"/>
                <w:color w:val="1F2A44"/>
                <w:sz w:val="18"/>
              </w:rPr>
              <w:t>James 4:8</w:t>
            </w:r>
          </w:p>
        </w:tc>
        <w:tc>
          <w:tcPr>
            <w:tcW w:type="dxa" w:w="3523"/>
            <w:vAlign w:val="center"/>
          </w:tcPr>
          <w:p>
            <w:pPr>
              <w:spacing w:after="0"/>
            </w:pPr>
            <w:r/>
            <w:r>
              <w:rPr>
                <w:rFonts w:ascii="Aptos" w:hAnsi="Aptos"/>
                <w:b w:val="0"/>
                <w:color w:val="1F2A44"/>
                <w:sz w:val="18"/>
              </w:rPr>
              <w:t>What helps you draw near to God rather than withdraw?</w:t>
            </w:r>
          </w:p>
        </w:tc>
      </w:tr>
      <w:tr>
        <w:tc>
          <w:tcPr>
            <w:tcW w:type="dxa" w:w="3523"/>
            <w:vAlign w:val="center"/>
          </w:tcPr>
          <w:p>
            <w:pPr>
              <w:spacing w:after="0"/>
            </w:pPr>
            <w:r/>
            <w:r>
              <w:rPr>
                <w:rFonts w:ascii="Aptos" w:hAnsi="Aptos"/>
                <w:b w:val="0"/>
                <w:color w:val="1F2A44"/>
                <w:sz w:val="18"/>
              </w:rPr>
              <w:t>Stillness and trust</w:t>
            </w:r>
          </w:p>
        </w:tc>
        <w:tc>
          <w:tcPr>
            <w:tcW w:type="dxa" w:w="3523"/>
            <w:vAlign w:val="center"/>
          </w:tcPr>
          <w:p>
            <w:pPr>
              <w:spacing w:after="0"/>
            </w:pPr>
            <w:r/>
            <w:r>
              <w:rPr>
                <w:rFonts w:ascii="Aptos" w:hAnsi="Aptos"/>
                <w:b w:val="0"/>
                <w:color w:val="1F2A44"/>
                <w:sz w:val="18"/>
              </w:rPr>
              <w:t>Psalm 46:10</w:t>
            </w:r>
          </w:p>
        </w:tc>
        <w:tc>
          <w:tcPr>
            <w:tcW w:type="dxa" w:w="3523"/>
            <w:vAlign w:val="center"/>
          </w:tcPr>
          <w:p>
            <w:pPr>
              <w:spacing w:after="0"/>
            </w:pPr>
            <w:r/>
            <w:r>
              <w:rPr>
                <w:rFonts w:ascii="Aptos" w:hAnsi="Aptos"/>
                <w:b w:val="0"/>
                <w:color w:val="1F2A44"/>
                <w:sz w:val="18"/>
              </w:rPr>
              <w:t>How can stillness become faith rather than escape?</w:t>
            </w:r>
          </w:p>
        </w:tc>
      </w:tr>
      <w:tr>
        <w:tc>
          <w:tcPr>
            <w:tcW w:type="dxa" w:w="3523"/>
            <w:vAlign w:val="center"/>
          </w:tcPr>
          <w:p>
            <w:pPr>
              <w:spacing w:after="0"/>
            </w:pPr>
            <w:r/>
            <w:r>
              <w:rPr>
                <w:rFonts w:ascii="Aptos" w:hAnsi="Aptos"/>
                <w:b w:val="0"/>
                <w:color w:val="1F2A44"/>
                <w:sz w:val="18"/>
              </w:rPr>
              <w:t>Peace in anxiety</w:t>
            </w:r>
          </w:p>
        </w:tc>
        <w:tc>
          <w:tcPr>
            <w:tcW w:type="dxa" w:w="3523"/>
            <w:vAlign w:val="center"/>
          </w:tcPr>
          <w:p>
            <w:pPr>
              <w:spacing w:after="0"/>
            </w:pPr>
            <w:r/>
            <w:r>
              <w:rPr>
                <w:rFonts w:ascii="Aptos" w:hAnsi="Aptos"/>
                <w:b w:val="0"/>
                <w:color w:val="1F2A44"/>
                <w:sz w:val="18"/>
              </w:rPr>
              <w:t>Philippians 4:6-7</w:t>
            </w:r>
          </w:p>
        </w:tc>
        <w:tc>
          <w:tcPr>
            <w:tcW w:type="dxa" w:w="3523"/>
            <w:vAlign w:val="center"/>
          </w:tcPr>
          <w:p>
            <w:pPr>
              <w:spacing w:after="0"/>
            </w:pPr>
            <w:r/>
            <w:r>
              <w:rPr>
                <w:rFonts w:ascii="Aptos" w:hAnsi="Aptos"/>
                <w:b w:val="0"/>
                <w:color w:val="1F2A44"/>
                <w:sz w:val="18"/>
              </w:rPr>
              <w:t>What would prayer look like before panic takes over?</w:t>
            </w:r>
          </w:p>
        </w:tc>
      </w:tr>
    </w:tbl>
    <w:p>
      <w:pPr>
        <w:pStyle w:val="Heading1"/>
        <w:spacing w:before="100" w:after="40"/>
      </w:pPr>
      <w:r>
        <w:t>Discussion Questions</w:t>
      </w:r>
    </w:p>
    <w:p>
      <w:pPr>
        <w:pStyle w:val="CompactList"/>
      </w:pPr>
      <w:r>
        <w:rPr>
          <w:b/>
        </w:rPr>
        <w:t xml:space="preserve">• </w:t>
      </w:r>
      <w:r>
        <w:t>How does the hymn describe God’s presence as a refuge rather than an explanation?</w:t>
      </w:r>
    </w:p>
    <w:p>
      <w:pPr>
        <w:pStyle w:val="CompactList"/>
      </w:pPr>
      <w:r>
        <w:rPr>
          <w:b/>
        </w:rPr>
        <w:t xml:space="preserve">• </w:t>
      </w:r>
      <w:r>
        <w:t>Why does the story behind the hymn help us hear it pastorally?</w:t>
      </w:r>
    </w:p>
    <w:p>
      <w:pPr>
        <w:pStyle w:val="CompactList"/>
      </w:pPr>
      <w:r>
        <w:rPr>
          <w:b/>
        </w:rPr>
        <w:t xml:space="preserve">• </w:t>
      </w:r>
      <w:r>
        <w:t>How do Matthew 11:28 and John 14:27 define Christian peace?</w:t>
      </w:r>
    </w:p>
    <w:p>
      <w:pPr>
        <w:pStyle w:val="CompactList"/>
      </w:pPr>
      <w:r>
        <w:rPr>
          <w:b/>
        </w:rPr>
        <w:t xml:space="preserve">• </w:t>
      </w:r>
      <w:r>
        <w:t>What does it mean to wait before Christ when grief has no quick answer?</w:t>
      </w:r>
    </w:p>
    <w:p>
      <w:pPr>
        <w:pStyle w:val="CompactList"/>
      </w:pPr>
      <w:r>
        <w:rPr>
          <w:b/>
        </w:rPr>
        <w:t xml:space="preserve">• </w:t>
      </w:r>
      <w:r>
        <w:t>How can a church offer comfort without minimizing sorrow?</w:t>
      </w:r>
    </w:p>
    <w:p>
      <w:pPr>
        <w:pStyle w:val="CompactList"/>
      </w:pPr>
      <w:r>
        <w:rPr>
          <w:b/>
        </w:rPr>
        <w:t xml:space="preserve">• </w:t>
      </w:r>
      <w:r>
        <w:t>Where might this hymn fit in worship or pastoral care today?</w:t>
      </w:r>
    </w:p>
    <w:p>
      <w:pPr>
        <w:pStyle w:val="CompactList"/>
      </w:pPr>
      <w:r>
        <w:rPr>
          <w:b/>
        </w:rPr>
        <w:t xml:space="preserve">• </w:t>
      </w:r>
      <w:r>
        <w:t>What practice of quiet prayer could your group try this week?</w:t>
      </w:r>
    </w:p>
    <w:p>
      <w:pPr>
        <w:pStyle w:val="Heading1"/>
        <w:spacing w:before="100" w:after="40"/>
      </w:pPr>
      <w:r>
        <w:t>Practice This Week</w:t>
      </w:r>
    </w:p>
    <w:p>
      <w:pPr>
        <w:pStyle w:val="CompactList"/>
      </w:pPr>
      <w:r>
        <w:rPr>
          <w:b/>
        </w:rPr>
        <w:t xml:space="preserve">• </w:t>
      </w:r>
      <w:r>
        <w:t>Spend five quiet minutes each day with Matthew 11:28, giving one burden to Christ.</w:t>
      </w:r>
    </w:p>
    <w:p>
      <w:pPr>
        <w:pStyle w:val="CompactList"/>
      </w:pPr>
      <w:r>
        <w:rPr>
          <w:b/>
        </w:rPr>
        <w:t xml:space="preserve">• </w:t>
      </w:r>
      <w:r>
        <w:t>Write a brief note or message to someone who is grieving or anxious.</w:t>
      </w:r>
    </w:p>
    <w:p>
      <w:pPr>
        <w:pStyle w:val="CompactList"/>
      </w:pPr>
      <w:r>
        <w:rPr>
          <w:b/>
        </w:rPr>
        <w:t xml:space="preserve">• </w:t>
      </w:r>
      <w:r>
        <w:t>Pray Philippians 4:6-7 when worry begins to rise.</w:t>
      </w:r>
    </w:p>
    <w:p>
      <w:pPr>
        <w:pStyle w:val="CompactList"/>
      </w:pPr>
      <w:r>
        <w:rPr>
          <w:b/>
        </w:rPr>
        <w:t xml:space="preserve">• </w:t>
      </w:r>
      <w:r>
        <w:t>Practice one act of silent worship before speaking or deciding.</w:t>
      </w:r>
    </w:p>
    <w:p>
      <w:pPr>
        <w:pStyle w:val="Heading1"/>
        <w:spacing w:before="100" w:after="40"/>
      </w:pPr>
      <w:r>
        <w:t>Leader Notes</w:t>
      </w:r>
    </w:p>
    <w:p>
      <w:r>
        <w:t>Let the group speak honestly about sorrow, anxiety, and fatigue. Do not rush toward answers. Keep the focus on the presence of God, the peace of Christ, and the church’s ministry of patient comfort.</w:t>
      </w:r>
    </w:p>
    <w:p>
      <w:pPr>
        <w:pStyle w:val="Heading1"/>
        <w:spacing w:before="100" w:after="40"/>
      </w:pPr>
      <w:r>
        <w:t>Closing Prayer</w:t>
      </w:r>
    </w:p>
    <w:p>
      <w:r>
        <w:t>Redeeming Lord, draw us near to the Father’s heart. Give rest to the weary, comfort to the grieving, peace to the anxious, and hope to those who wait. Hold us close when words are few, and teach us to comfort others with your gentleness. Amen.</w:t>
      </w:r>
    </w:p>
    <w:p>
      <w:pPr>
        <w:jc w:val="center"/>
      </w:pPr>
      <w:r>
        <w:rPr>
          <w:color w:val="646464"/>
          <w:sz w:val="14"/>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35" w:bottom="792" w:left="8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243447"/>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6B4E2E"/>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243447"/>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mpactList">
    <w:name w:val="Compact List"/>
    <w:pPr>
      <w:spacing w:after="30"/>
      <w:ind w:left="259" w:hanging="173"/>
    </w:pPr>
    <w:rPr>
      <w:rFonts w:ascii="Aptos" w:hAnsi="Aptos"/>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Near to the Heart of God Small Group Handout</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