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2324A"/>
          <w:sz w:val="44"/>
        </w:rPr>
        <w:t>Great Is Thy Faithfulness</w:t>
      </w:r>
    </w:p>
    <w:p>
      <w:pPr>
        <w:jc w:val="center"/>
      </w:pPr>
      <w:r>
        <w:rPr>
          <w:rFonts w:ascii="Georgia" w:hAnsi="Georgia"/>
          <w:i/>
          <w:color w:val="4F7C7A"/>
          <w:sz w:val="26"/>
        </w:rPr>
        <w:t>Sermon Outline</w:t>
      </w:r>
    </w:p>
    <w:p>
      <w:pPr>
        <w:jc w:val="center"/>
      </w:pPr>
      <w:r>
        <w:rPr>
          <w:color w:val="5A5A5A"/>
          <w:sz w:val="20"/>
        </w:rPr>
        <w:t>Thomas Obadiah Chisholm • 1923 • Tune: FAITHFULNESS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F7F0E1"/>
          </w:tcPr>
          <w:p>
            <w:r>
              <w:rPr>
                <w:rFonts w:ascii="Georgia" w:hAnsi="Georgia"/>
                <w:b/>
                <w:color w:val="12324A"/>
                <w:sz w:val="24"/>
              </w:rPr>
              <w:t>Text</w:t>
            </w:r>
          </w:p>
          <w:p>
            <w:r>
              <w:rPr>
                <w:sz w:val="20"/>
              </w:rPr>
              <w:t>Lamentations 3:22–23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F7F0E1"/>
          </w:tcPr>
          <w:p>
            <w:r>
              <w:rPr>
                <w:rFonts w:ascii="Georgia" w:hAnsi="Georgia"/>
                <w:b/>
                <w:color w:val="12324A"/>
                <w:sz w:val="24"/>
              </w:rPr>
              <w:t>Theme</w:t>
            </w:r>
          </w:p>
          <w:p>
            <w:r>
              <w:rPr>
                <w:sz w:val="20"/>
              </w:rPr>
              <w:t>God’s faithfulness is great because His mercy is unchanging, daily renewed, and sufficient for every season.</w:t>
            </w:r>
          </w:p>
        </w:tc>
      </w:tr>
    </w:tbl>
    <w:p/>
    <w:p>
      <w:pPr>
        <w:pStyle w:val="Heading1"/>
      </w:pPr>
      <w:r>
        <w:t>I. Introduction: Faithfulness in Ordinary Life</w:t>
      </w:r>
    </w:p>
    <w:p>
      <w:pPr>
        <w:pStyle w:val="ListBullet"/>
        <w:spacing w:after="40"/>
      </w:pPr>
      <w:r>
        <w:t>This hymn does not begin with dramatic rescue, but with a steady confession: God is faithful.</w:t>
      </w:r>
    </w:p>
    <w:p>
      <w:pPr>
        <w:pStyle w:val="ListBullet"/>
        <w:spacing w:after="40"/>
      </w:pPr>
      <w:r>
        <w:t>The heart of the hymn is not human optimism but divine constancy.</w:t>
      </w:r>
    </w:p>
    <w:p>
      <w:pPr>
        <w:pStyle w:val="ListBullet"/>
        <w:spacing w:after="40"/>
      </w:pPr>
      <w:r>
        <w:t>In Lamentations, hope is born amid sorrow; mercy shines against the background of grief.</w:t>
      </w:r>
    </w:p>
    <w:p>
      <w:pPr>
        <w:pStyle w:val="Heading1"/>
      </w:pPr>
      <w:r>
        <w:t>II. God’s Mercy Is Not Exhausted</w:t>
      </w:r>
    </w:p>
    <w:p>
      <w:pPr>
        <w:pStyle w:val="ListBullet"/>
        <w:spacing w:after="40"/>
      </w:pPr>
      <w:r>
        <w:t>“Because of Yahweh’s loving kindnesses, we are not consumed.”</w:t>
      </w:r>
    </w:p>
    <w:p>
      <w:pPr>
        <w:pStyle w:val="ListBullet"/>
        <w:spacing w:after="40"/>
      </w:pPr>
      <w:r>
        <w:t>The hymn teaches believers to measure life by God’s mercy rather than by changing circumstances.</w:t>
      </w:r>
    </w:p>
    <w:p>
      <w:pPr>
        <w:pStyle w:val="ListBullet"/>
        <w:spacing w:after="40"/>
      </w:pPr>
      <w:r>
        <w:t>Pastoral move: help the congregation name mercies they may have overlooked.</w:t>
      </w:r>
    </w:p>
    <w:p>
      <w:pPr>
        <w:pStyle w:val="Heading1"/>
      </w:pPr>
      <w:r>
        <w:t>III. God’s Character Does Not Change</w:t>
      </w:r>
    </w:p>
    <w:p>
      <w:pPr>
        <w:pStyle w:val="ListBullet"/>
        <w:spacing w:after="40"/>
      </w:pPr>
      <w:r>
        <w:t>“There is no shadow of turning with Thee.”</w:t>
      </w:r>
    </w:p>
    <w:p>
      <w:pPr>
        <w:pStyle w:val="ListBullet"/>
        <w:spacing w:after="40"/>
      </w:pPr>
      <w:r>
        <w:t>James 1:17 and Hebrews 13:8 reinforce the doctrine of divine immutability.</w:t>
      </w:r>
    </w:p>
    <w:p>
      <w:pPr>
        <w:pStyle w:val="ListBullet"/>
        <w:spacing w:after="40"/>
      </w:pPr>
      <w:r>
        <w:t>Application: uncertainty does not make God unstable; suffering does not make God absent.</w:t>
      </w:r>
    </w:p>
    <w:p>
      <w:pPr>
        <w:pStyle w:val="Heading1"/>
      </w:pPr>
      <w:r>
        <w:t>IV. God’s Creation Bears Witness</w:t>
      </w:r>
    </w:p>
    <w:p>
      <w:pPr>
        <w:pStyle w:val="ListBullet"/>
        <w:spacing w:after="40"/>
      </w:pPr>
      <w:r>
        <w:t>The second stanza calls seasons, sun, moon, and stars to join the testimony.</w:t>
      </w:r>
    </w:p>
    <w:p>
      <w:pPr>
        <w:pStyle w:val="ListBullet"/>
        <w:spacing w:after="40"/>
      </w:pPr>
      <w:r>
        <w:t>Creation’s rhythms remind us that God’s providence is both majestic and ordinary.</w:t>
      </w:r>
    </w:p>
    <w:p>
      <w:pPr>
        <w:pStyle w:val="ListBullet"/>
        <w:spacing w:after="40"/>
      </w:pPr>
      <w:r>
        <w:t>Application: learn to see daily life as a school of gratitude.</w:t>
      </w:r>
    </w:p>
    <w:p>
      <w:pPr>
        <w:pStyle w:val="Heading1"/>
      </w:pPr>
      <w:r>
        <w:t>V. God’s Grace Meets the Person</w:t>
      </w:r>
    </w:p>
    <w:p>
      <w:pPr>
        <w:pStyle w:val="ListBullet"/>
        <w:spacing w:after="40"/>
      </w:pPr>
      <w:r>
        <w:t>Pardon for sin: grace addresses guilt.</w:t>
      </w:r>
    </w:p>
    <w:p>
      <w:pPr>
        <w:pStyle w:val="ListBullet"/>
        <w:spacing w:after="40"/>
      </w:pPr>
      <w:r>
        <w:t>Peace that endureth: grace steadies the soul.</w:t>
      </w:r>
    </w:p>
    <w:p>
      <w:pPr>
        <w:pStyle w:val="ListBullet"/>
        <w:spacing w:after="40"/>
      </w:pPr>
      <w:r>
        <w:t>Presence to cheer and guide: grace accompanies the path.</w:t>
      </w:r>
    </w:p>
    <w:p>
      <w:pPr>
        <w:pStyle w:val="ListBullet"/>
        <w:spacing w:after="40"/>
      </w:pPr>
      <w:r>
        <w:t>Strength for today and bright hope for tomorrow: grace meets both present duty and future fear.</w:t>
      </w:r>
    </w:p>
    <w:p>
      <w:pPr>
        <w:pStyle w:val="Heading1"/>
      </w:pPr>
      <w:r>
        <w:t>VI. Conclusion: Morning by Morning</w:t>
      </w:r>
    </w:p>
    <w:p>
      <w:pPr>
        <w:pStyle w:val="ListBullet"/>
        <w:spacing w:after="40"/>
      </w:pPr>
      <w:r>
        <w:t>Invite the congregation to begin each day by naming one new mercy.</w:t>
      </w:r>
    </w:p>
    <w:p>
      <w:pPr>
        <w:pStyle w:val="ListBullet"/>
        <w:spacing w:after="40"/>
      </w:pPr>
      <w:r>
        <w:t>Call worshipers to trust God’s unchanging character more than changing feelings.</w:t>
      </w:r>
    </w:p>
    <w:p>
      <w:pPr>
        <w:pStyle w:val="ListBullet"/>
        <w:spacing w:after="40"/>
      </w:pPr>
      <w:r>
        <w:t>End with the refrain as a sung or spoken confession of faith.</w:t>
      </w:r>
    </w:p>
    <w:p>
      <w:pPr>
        <w:pStyle w:val="Heading1"/>
      </w:pPr>
      <w:r>
        <w:t>Suggested Closing Prayer</w:t>
      </w:r>
    </w:p>
    <w:p>
      <w:r>
        <w:t>Lord, great is Your faithfulness. Teach us to receive mercy each morning, trust Your unchanging heart, and walk into tomorrow with hope. Amen.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2324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2324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12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