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17213A"/>
          <w:sz w:val="48"/>
        </w:rPr>
        <w:t>Pass It On</w:t>
      </w:r>
    </w:p>
    <w:p>
      <w:pPr>
        <w:jc w:val="center"/>
      </w:pPr>
      <w:r>
        <w:rPr>
          <w:i/>
          <w:color w:val="9F4D25"/>
          <w:sz w:val="22"/>
        </w:rPr>
        <w:t>Small Group Handout: Love received becomes love shared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846320" cy="27260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ndle_passing_16x9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26055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4E2"/>
            <w:tcBorders>
              <w:top w:sz="6" w:val="single" w:color="E2C38F"/>
              <w:left w:sz="6" w:val="single" w:color="E2C38F"/>
              <w:bottom w:sz="6" w:val="single" w:color="E2C38F"/>
              <w:right w:sz="6" w:val="single" w:color="E2C38F"/>
            </w:tcBorders>
            <w:vAlign w:val="center"/>
          </w:tcPr>
          <w:p>
            <w:pPr>
              <w:spacing w:after="40"/>
            </w:pPr>
            <w:r>
              <w:rPr>
                <w:rFonts w:ascii="Georgia" w:hAnsi="Georgia"/>
                <w:b/>
                <w:color w:val="9F4D25"/>
                <w:sz w:val="22"/>
              </w:rPr>
              <w:t>Opening thought</w:t>
            </w:r>
          </w:p>
          <w:p>
            <w:pPr>
              <w:spacing w:after="0"/>
            </w:pPr>
            <w:r>
              <w:rPr>
                <w:color w:val="4B2B18"/>
                <w:sz w:val="19"/>
              </w:rPr>
              <w:t>Christian witness is not merely a program. It begins when God’s love is received, embodied, and shared through ordinary relationships.</w:t>
            </w:r>
          </w:p>
        </w:tc>
      </w:tr>
    </w:tbl>
    <w:p>
      <w:pPr>
        <w:spacing w:after="40"/>
      </w:pPr>
    </w:p>
    <w:p>
      <w:pPr>
        <w:pStyle w:val="Heading1"/>
        <w:spacing w:before="0" w:after="80"/>
      </w:pPr>
      <w:r>
        <w:rPr>
          <w:b w:val="0"/>
          <w:i w:val="0"/>
        </w:rPr>
        <w:t>Hymn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EAD8"/>
          </w:tcPr>
          <w:p>
            <w:r>
              <w:rPr>
                <w:rFonts w:ascii="Aptos" w:hAnsi="Aptos"/>
                <w:color w:val="4B2B18"/>
                <w:sz w:val="18"/>
              </w:rPr>
              <w:t>Title</w:t>
            </w:r>
          </w:p>
        </w:tc>
        <w:tc>
          <w:tcPr>
            <w:tcW w:type="dxa" w:w="5184"/>
            <w:shd w:fill="FFF9EE"/>
          </w:tcPr>
          <w:p>
            <w:r>
              <w:rPr>
                <w:rFonts w:ascii="Aptos" w:hAnsi="Aptos"/>
                <w:color w:val="4B2B18"/>
                <w:sz w:val="18"/>
              </w:rPr>
              <w:t>Pass It On</w:t>
            </w:r>
          </w:p>
        </w:tc>
      </w:tr>
      <w:tr>
        <w:tc>
          <w:tcPr>
            <w:tcW w:type="dxa" w:w="5184"/>
            <w:shd w:fill="F7EAD8"/>
          </w:tcPr>
          <w:p>
            <w:r>
              <w:rPr>
                <w:rFonts w:ascii="Aptos" w:hAnsi="Aptos"/>
                <w:color w:val="4B2B18"/>
                <w:sz w:val="18"/>
              </w:rPr>
              <w:t>Writer and composer</w:t>
            </w:r>
          </w:p>
        </w:tc>
        <w:tc>
          <w:tcPr>
            <w:tcW w:type="dxa" w:w="5184"/>
            <w:shd w:fill="FFF9EE"/>
          </w:tcPr>
          <w:p>
            <w:r>
              <w:rPr>
                <w:rFonts w:ascii="Aptos" w:hAnsi="Aptos"/>
                <w:color w:val="4B2B18"/>
                <w:sz w:val="18"/>
              </w:rPr>
              <w:t>Kurt Frederic Kaiser (1934–2018)</w:t>
            </w:r>
          </w:p>
        </w:tc>
      </w:tr>
      <w:tr>
        <w:tc>
          <w:tcPr>
            <w:tcW w:type="dxa" w:w="5184"/>
            <w:shd w:fill="F7EAD8"/>
          </w:tcPr>
          <w:p>
            <w:r>
              <w:rPr>
                <w:rFonts w:ascii="Aptos" w:hAnsi="Aptos"/>
                <w:color w:val="4B2B18"/>
                <w:sz w:val="18"/>
              </w:rPr>
              <w:t>Year and setting</w:t>
            </w:r>
          </w:p>
        </w:tc>
        <w:tc>
          <w:tcPr>
            <w:tcW w:type="dxa" w:w="5184"/>
            <w:shd w:fill="FFF9EE"/>
          </w:tcPr>
          <w:p>
            <w:r>
              <w:rPr>
                <w:rFonts w:ascii="Aptos" w:hAnsi="Aptos"/>
                <w:color w:val="4B2B18"/>
                <w:sz w:val="18"/>
              </w:rPr>
              <w:t>1969, written for the youth musical Tell It Like It Is</w:t>
            </w:r>
          </w:p>
        </w:tc>
      </w:tr>
      <w:tr>
        <w:tc>
          <w:tcPr>
            <w:tcW w:type="dxa" w:w="5184"/>
            <w:shd w:fill="F7EAD8"/>
          </w:tcPr>
          <w:p>
            <w:r>
              <w:rPr>
                <w:rFonts w:ascii="Aptos" w:hAnsi="Aptos"/>
                <w:color w:val="4B2B18"/>
                <w:sz w:val="18"/>
              </w:rPr>
              <w:t>Main themes</w:t>
            </w:r>
          </w:p>
        </w:tc>
        <w:tc>
          <w:tcPr>
            <w:tcW w:type="dxa" w:w="5184"/>
            <w:shd w:fill="FFF9EE"/>
          </w:tcPr>
          <w:p>
            <w:r>
              <w:rPr>
                <w:rFonts w:ascii="Aptos" w:hAnsi="Aptos"/>
                <w:color w:val="4B2B18"/>
                <w:sz w:val="18"/>
              </w:rPr>
              <w:t>Love, discipleship, mission, witness, community, testimony</w:t>
            </w:r>
          </w:p>
        </w:tc>
      </w:tr>
      <w:tr>
        <w:tc>
          <w:tcPr>
            <w:tcW w:type="dxa" w:w="5184"/>
            <w:shd w:fill="F7EAD8"/>
          </w:tcPr>
          <w:p>
            <w:r>
              <w:rPr>
                <w:rFonts w:ascii="Aptos" w:hAnsi="Aptos"/>
                <w:color w:val="4B2B18"/>
                <w:sz w:val="18"/>
              </w:rPr>
              <w:t>Copyright note</w:t>
            </w:r>
          </w:p>
        </w:tc>
        <w:tc>
          <w:tcPr>
            <w:tcW w:type="dxa" w:w="5184"/>
            <w:shd w:fill="FFF9EE"/>
          </w:tcPr>
          <w:p>
            <w:r>
              <w:rPr>
                <w:rFonts w:ascii="Aptos" w:hAnsi="Aptos"/>
                <w:color w:val="4B2B18"/>
                <w:sz w:val="18"/>
              </w:rPr>
              <w:t>Use an authorized hymnal, license, or publisher-approved source when reproducing the words or music.</w:t>
            </w:r>
          </w:p>
        </w:tc>
      </w:tr>
    </w:tbl>
    <w:p>
      <w:pPr>
        <w:pStyle w:val="Heading1"/>
        <w:spacing w:before="0" w:after="80"/>
      </w:pPr>
      <w:r>
        <w:rPr>
          <w:b w:val="0"/>
          <w:i w:val="0"/>
        </w:rPr>
        <w:t>Historical Snapshot</w:t>
      </w:r>
    </w:p>
    <w:p>
      <w:pPr>
        <w:pStyle w:val="ListBullet"/>
        <w:spacing w:after="40"/>
        <w:ind w:left="259"/>
      </w:pPr>
      <w:r>
        <w:t>Kurt Kaiser wrote the song as the closing number for Tell It Like It Is, a folk-style youth musical created with Ralph Carmichael.</w:t>
      </w:r>
    </w:p>
    <w:p>
      <w:pPr>
        <w:pStyle w:val="ListBullet"/>
        <w:spacing w:after="40"/>
        <w:ind w:left="259"/>
      </w:pPr>
      <w:r>
        <w:t>It became widely used in youth groups, camps, retreats, candle-lighting services, mission gatherings, and congregational worship.</w:t>
      </w:r>
    </w:p>
    <w:p>
      <w:pPr>
        <w:pStyle w:val="ListBullet"/>
        <w:spacing w:after="40"/>
        <w:ind w:left="259"/>
      </w:pPr>
      <w:r>
        <w:t>A fireplace-writing story is often repeated, but the stronger documented context is the song’s role as the closing number of the musical.</w:t>
      </w:r>
    </w:p>
    <w:p>
      <w:r>
        <w:br w:type="page"/>
      </w:r>
    </w:p>
    <w:p>
      <w:pPr>
        <w:pStyle w:val="Heading1"/>
        <w:spacing w:before="0" w:after="80"/>
      </w:pPr>
      <w:r>
        <w:rPr>
          <w:b w:val="0"/>
          <w:i w:val="0"/>
        </w:rPr>
        <w:t>Biblical Foundations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9EE"/>
            <w:tcBorders>
              <w:top w:sz="6" w:val="single" w:color="E2C38F"/>
              <w:left w:sz="6" w:val="single" w:color="E2C38F"/>
              <w:bottom w:sz="6" w:val="single" w:color="E2C38F"/>
              <w:right w:sz="6" w:val="single" w:color="E2C38F"/>
            </w:tcBorders>
            <w:vAlign w:val="center"/>
          </w:tcPr>
          <w:p>
            <w:pPr>
              <w:spacing w:after="40"/>
            </w:pPr>
            <w:r>
              <w:rPr>
                <w:rFonts w:ascii="Georgia" w:hAnsi="Georgia"/>
                <w:b/>
                <w:color w:val="9F4D25"/>
                <w:sz w:val="22"/>
              </w:rPr>
              <w:t>Matthew 5:14–16</w:t>
            </w:r>
          </w:p>
          <w:p>
            <w:pPr>
              <w:spacing w:after="0"/>
            </w:pPr>
            <w:r>
              <w:rPr>
                <w:color w:val="4B2B18"/>
                <w:sz w:val="19"/>
              </w:rPr>
              <w:t>Let your light shine through good works that glorify the Father.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9EE"/>
            <w:tcBorders>
              <w:top w:sz="6" w:val="single" w:color="E2C38F"/>
              <w:left w:sz="6" w:val="single" w:color="E2C38F"/>
              <w:bottom w:sz="6" w:val="single" w:color="E2C38F"/>
              <w:right w:sz="6" w:val="single" w:color="E2C38F"/>
            </w:tcBorders>
            <w:vAlign w:val="center"/>
          </w:tcPr>
          <w:p>
            <w:pPr>
              <w:spacing w:after="40"/>
            </w:pPr>
            <w:r>
              <w:rPr>
                <w:rFonts w:ascii="Georgia" w:hAnsi="Georgia"/>
                <w:b/>
                <w:color w:val="9F4D25"/>
                <w:sz w:val="22"/>
              </w:rPr>
              <w:t>Romans 10:14–15</w:t>
            </w:r>
          </w:p>
          <w:p>
            <w:pPr>
              <w:spacing w:after="0"/>
            </w:pPr>
            <w:r>
              <w:rPr>
                <w:color w:val="4B2B18"/>
                <w:sz w:val="19"/>
              </w:rPr>
              <w:t>The good news must be communicated; people need to hear.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9EE"/>
            <w:tcBorders>
              <w:top w:sz="6" w:val="single" w:color="E2C38F"/>
              <w:left w:sz="6" w:val="single" w:color="E2C38F"/>
              <w:bottom w:sz="6" w:val="single" w:color="E2C38F"/>
              <w:right w:sz="6" w:val="single" w:color="E2C38F"/>
            </w:tcBorders>
            <w:vAlign w:val="center"/>
          </w:tcPr>
          <w:p>
            <w:pPr>
              <w:spacing w:after="40"/>
            </w:pPr>
            <w:r>
              <w:rPr>
                <w:rFonts w:ascii="Georgia" w:hAnsi="Georgia"/>
                <w:b/>
                <w:color w:val="9F4D25"/>
                <w:sz w:val="22"/>
              </w:rPr>
              <w:t>2 Timothy 2:2</w:t>
            </w:r>
          </w:p>
          <w:p>
            <w:pPr>
              <w:spacing w:after="0"/>
            </w:pPr>
            <w:r>
              <w:rPr>
                <w:color w:val="4B2B18"/>
                <w:sz w:val="19"/>
              </w:rPr>
              <w:t>What is received is entrusted to others who can teach still others.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9EE"/>
            <w:tcBorders>
              <w:top w:sz="6" w:val="single" w:color="E2C38F"/>
              <w:left w:sz="6" w:val="single" w:color="E2C38F"/>
              <w:bottom w:sz="6" w:val="single" w:color="E2C38F"/>
              <w:right w:sz="6" w:val="single" w:color="E2C38F"/>
            </w:tcBorders>
            <w:vAlign w:val="center"/>
          </w:tcPr>
          <w:p>
            <w:pPr>
              <w:spacing w:after="40"/>
            </w:pPr>
            <w:r>
              <w:rPr>
                <w:rFonts w:ascii="Georgia" w:hAnsi="Georgia"/>
                <w:b/>
                <w:color w:val="9F4D25"/>
                <w:sz w:val="22"/>
              </w:rPr>
              <w:t>1 John 4:11, 19</w:t>
            </w:r>
          </w:p>
          <w:p>
            <w:pPr>
              <w:spacing w:after="0"/>
            </w:pPr>
            <w:r>
              <w:rPr>
                <w:color w:val="4B2B18"/>
                <w:sz w:val="19"/>
              </w:rPr>
              <w:t>We love because God first loved us.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9EE"/>
            <w:tcBorders>
              <w:top w:sz="6" w:val="single" w:color="E2C38F"/>
              <w:left w:sz="6" w:val="single" w:color="E2C38F"/>
              <w:bottom w:sz="6" w:val="single" w:color="E2C38F"/>
              <w:right w:sz="6" w:val="single" w:color="E2C38F"/>
            </w:tcBorders>
            <w:vAlign w:val="center"/>
          </w:tcPr>
          <w:p>
            <w:pPr>
              <w:spacing w:after="40"/>
            </w:pPr>
            <w:r>
              <w:rPr>
                <w:rFonts w:ascii="Georgia" w:hAnsi="Georgia"/>
                <w:b/>
                <w:color w:val="9F4D25"/>
                <w:sz w:val="22"/>
              </w:rPr>
              <w:t>Acts 8:4</w:t>
            </w:r>
          </w:p>
          <w:p>
            <w:pPr>
              <w:spacing w:after="0"/>
            </w:pPr>
            <w:r>
              <w:rPr>
                <w:color w:val="4B2B18"/>
                <w:sz w:val="19"/>
              </w:rPr>
              <w:t>Scattered believers carried the word wherever they went.</w:t>
            </w:r>
          </w:p>
        </w:tc>
      </w:tr>
    </w:tbl>
    <w:p>
      <w:pPr>
        <w:spacing w:after="40"/>
      </w:pPr>
    </w:p>
    <w:p>
      <w:pPr>
        <w:pStyle w:val="Heading1"/>
        <w:spacing w:before="0" w:after="80"/>
      </w:pPr>
      <w:r>
        <w:rPr>
          <w:b w:val="0"/>
          <w:i w:val="0"/>
        </w:rPr>
        <w:t>Theological Themes</w:t>
      </w:r>
    </w:p>
    <w:p>
      <w:pPr>
        <w:pStyle w:val="ListBullet"/>
        <w:spacing w:after="40"/>
        <w:ind w:left="259"/>
      </w:pPr>
      <w:r>
        <w:t>Grace: God’s love comes first; witness is a response, not a way to earn favor.</w:t>
      </w:r>
    </w:p>
    <w:p>
      <w:pPr>
        <w:pStyle w:val="ListBullet"/>
        <w:spacing w:after="40"/>
        <w:ind w:left="259"/>
      </w:pPr>
      <w:r>
        <w:t>Witness: faith becomes visible through speech, testimony, and good works.</w:t>
      </w:r>
    </w:p>
    <w:p>
      <w:pPr>
        <w:pStyle w:val="ListBullet"/>
        <w:spacing w:after="40"/>
        <w:ind w:left="259"/>
      </w:pPr>
      <w:r>
        <w:t>Community: the gospel is passed through relationships and shared life.</w:t>
      </w:r>
    </w:p>
    <w:p>
      <w:pPr>
        <w:pStyle w:val="ListBullet"/>
        <w:spacing w:after="40"/>
        <w:ind w:left="259"/>
      </w:pPr>
      <w:r>
        <w:t>Mission: love moves outward; it does not remain private.</w:t>
      </w:r>
    </w:p>
    <w:p>
      <w:pPr>
        <w:pStyle w:val="Heading2"/>
        <w:spacing w:before="0" w:after="80"/>
      </w:pPr>
      <w:r>
        <w:rPr>
          <w:b w:val="0"/>
          <w:i w:val="0"/>
        </w:rPr>
        <w:t>Important Teaching Clarification</w:t>
      </w:r>
    </w:p>
    <w:p>
      <w:pPr>
        <w:spacing w:before="0" w:after="80"/>
      </w:pPr>
      <w:r>
        <w:rPr>
          <w:b w:val="0"/>
          <w:i/>
          <w:color w:val="9F4D25"/>
        </w:rPr>
        <w:t>The fire image is primarily a metaphor for spreading love and witness. Pentecost may be a secondary preaching connection, but it should not be treated as the song’s main subject.</w:t>
      </w:r>
    </w:p>
    <w:p>
      <w:r>
        <w:br w:type="page"/>
      </w:r>
    </w:p>
    <w:p>
      <w:pPr>
        <w:pStyle w:val="Heading1"/>
        <w:spacing w:before="0" w:after="80"/>
      </w:pPr>
      <w:r>
        <w:rPr>
          <w:b w:val="0"/>
          <w:i w:val="0"/>
        </w:rPr>
        <w:t>Discussion Questions</w:t>
      </w:r>
    </w:p>
    <w:p>
      <w:pPr>
        <w:pStyle w:val="ListNumber"/>
        <w:spacing w:after="40"/>
      </w:pPr>
      <w:r>
        <w:t>What does the image of a spark becoming a fire teach about personal influence?</w:t>
      </w:r>
    </w:p>
    <w:p>
      <w:pPr>
        <w:pStyle w:val="ListNumber"/>
        <w:spacing w:after="40"/>
      </w:pPr>
      <w:r>
        <w:t>Why should Christian witness begin with receiving God's love rather than with pressure or obligation?</w:t>
      </w:r>
    </w:p>
    <w:p>
      <w:pPr>
        <w:pStyle w:val="ListNumber"/>
        <w:spacing w:after="40"/>
      </w:pPr>
      <w:r>
        <w:t>How can a simple testimony point clearly to Jesus Christ?</w:t>
      </w:r>
    </w:p>
    <w:p>
      <w:pPr>
        <w:pStyle w:val="ListNumber"/>
        <w:spacing w:after="40"/>
      </w:pPr>
      <w:r>
        <w:t>What are faithful ways to pass on Christian teaching to another generation?</w:t>
      </w:r>
    </w:p>
    <w:p>
      <w:pPr>
        <w:pStyle w:val="ListNumber"/>
        <w:spacing w:after="40"/>
      </w:pPr>
      <w:r>
        <w:t>How does the springtime imagery communicate renewal and joy?</w:t>
      </w:r>
    </w:p>
    <w:p>
      <w:pPr>
        <w:pStyle w:val="Heading1"/>
        <w:spacing w:before="0" w:after="80"/>
      </w:pPr>
      <w:r>
        <w:rPr>
          <w:b w:val="0"/>
          <w:i w:val="0"/>
        </w:rPr>
        <w:t>Application: This Week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F7EAD8"/>
          </w:tcPr>
          <w:p>
            <w:r>
              <w:t>Tell</w:t>
            </w:r>
          </w:p>
        </w:tc>
        <w:tc>
          <w:tcPr>
            <w:tcW w:type="dxa" w:w="2592"/>
            <w:shd w:fill="F7EAD8"/>
          </w:tcPr>
          <w:p>
            <w:r>
              <w:t>Serve</w:t>
            </w:r>
          </w:p>
        </w:tc>
        <w:tc>
          <w:tcPr>
            <w:tcW w:type="dxa" w:w="2592"/>
            <w:shd w:fill="F7EAD8"/>
          </w:tcPr>
          <w:p>
            <w:r>
              <w:t>Invite</w:t>
            </w:r>
          </w:p>
        </w:tc>
        <w:tc>
          <w:tcPr>
            <w:tcW w:type="dxa" w:w="2592"/>
            <w:shd w:fill="F7EAD8"/>
          </w:tcPr>
          <w:p>
            <w:r>
              <w:t>Mentor</w:t>
            </w:r>
          </w:p>
        </w:tc>
      </w:tr>
      <w:tr>
        <w:tc>
          <w:tcPr>
            <w:tcW w:type="dxa" w:w="2592"/>
            <w:shd w:fill="FFF9EE"/>
          </w:tcPr>
          <w:p>
            <w:r>
              <w:t>Share one short testimony of God’s love with someone.</w:t>
            </w:r>
          </w:p>
        </w:tc>
        <w:tc>
          <w:tcPr>
            <w:tcW w:type="dxa" w:w="2592"/>
            <w:shd w:fill="FFF9EE"/>
          </w:tcPr>
          <w:p>
            <w:r>
              <w:t>Encourage one person through practical help or presence.</w:t>
            </w:r>
          </w:p>
        </w:tc>
        <w:tc>
          <w:tcPr>
            <w:tcW w:type="dxa" w:w="2592"/>
            <w:shd w:fill="FFF9EE"/>
          </w:tcPr>
          <w:p>
            <w:r>
              <w:t>Invite someone into a worshiping or serving community.</w:t>
            </w:r>
          </w:p>
        </w:tc>
        <w:tc>
          <w:tcPr>
            <w:tcW w:type="dxa" w:w="2592"/>
            <w:shd w:fill="FFF9EE"/>
          </w:tcPr>
          <w:p>
            <w:r>
              <w:t>Pass on one truth, habit, or Scripture to someone younger in faith.</w:t>
            </w:r>
          </w:p>
        </w:tc>
      </w:tr>
    </w:tbl>
    <w:p>
      <w:pPr>
        <w:pStyle w:val="Heading1"/>
        <w:spacing w:before="0" w:after="80"/>
      </w:pPr>
      <w:r>
        <w:rPr>
          <w:b w:val="0"/>
          <w:i w:val="0"/>
        </w:rPr>
        <w:t>Closing Prayer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4E2"/>
            <w:tcBorders>
              <w:top w:sz="6" w:val="single" w:color="E2C38F"/>
              <w:left w:sz="6" w:val="single" w:color="E2C38F"/>
              <w:bottom w:sz="6" w:val="single" w:color="E2C38F"/>
              <w:right w:sz="6" w:val="single" w:color="E2C38F"/>
            </w:tcBorders>
            <w:vAlign w:val="center"/>
          </w:tcPr>
          <w:p>
            <w:pPr>
              <w:spacing w:after="40"/>
            </w:pPr>
            <w:r>
              <w:rPr>
                <w:rFonts w:ascii="Georgia" w:hAnsi="Georgia"/>
                <w:b/>
                <w:color w:val="9F4D25"/>
                <w:sz w:val="22"/>
              </w:rPr>
              <w:t>Prayer</w:t>
            </w:r>
          </w:p>
          <w:p>
            <w:pPr>
              <w:spacing w:after="0"/>
            </w:pPr>
            <w:r>
              <w:rPr>
                <w:color w:val="4B2B18"/>
                <w:sz w:val="19"/>
              </w:rPr>
              <w:t>Lord, let your love become visible through us. Give us courage to speak, humility to serve, and faithfulness to entrust the good news to others.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spacing w:before="0" w:after="80"/>
      </w:pPr>
      <w:r>
        <w:rPr>
          <w:b w:val="0"/>
          <w:i w:val="0"/>
        </w:rPr>
        <w:t>Leader Notes</w:t>
      </w:r>
    </w:p>
    <w:p>
      <w:pPr>
        <w:pStyle w:val="Heading2"/>
        <w:spacing w:before="0" w:after="80"/>
      </w:pPr>
      <w:r>
        <w:rPr>
          <w:b w:val="0"/>
          <w:i w:val="0"/>
        </w:rPr>
        <w:t>Suggested 45-minute flow</w:t>
      </w:r>
    </w:p>
    <w:p>
      <w:pPr>
        <w:pStyle w:val="ListBullet"/>
        <w:spacing w:after="40"/>
        <w:ind w:left="259"/>
      </w:pPr>
      <w:r>
        <w:t>5 minutes: opening question - Who first passed faith to you?</w:t>
      </w:r>
    </w:p>
    <w:p>
      <w:pPr>
        <w:pStyle w:val="ListBullet"/>
        <w:spacing w:after="40"/>
        <w:ind w:left="259"/>
      </w:pPr>
      <w:r>
        <w:t>8 minutes: historical context - Kaiser, 1969, and youth-musical setting.</w:t>
      </w:r>
    </w:p>
    <w:p>
      <w:pPr>
        <w:pStyle w:val="ListBullet"/>
        <w:spacing w:after="40"/>
        <w:ind w:left="259"/>
      </w:pPr>
      <w:r>
        <w:t>12 minutes: Scripture study - Matthew 5, 2 Timothy 2, and 1 John 4.</w:t>
      </w:r>
    </w:p>
    <w:p>
      <w:pPr>
        <w:pStyle w:val="ListBullet"/>
        <w:spacing w:after="40"/>
        <w:ind w:left="259"/>
      </w:pPr>
      <w:r>
        <w:t>10 minutes: theological discussion - grace, witness, community, mission.</w:t>
      </w:r>
    </w:p>
    <w:p>
      <w:pPr>
        <w:pStyle w:val="ListBullet"/>
        <w:spacing w:after="40"/>
        <w:ind w:left="259"/>
      </w:pPr>
      <w:r>
        <w:t>7 minutes: application - one person, one act, one testimony.</w:t>
      </w:r>
    </w:p>
    <w:p>
      <w:pPr>
        <w:pStyle w:val="ListBullet"/>
        <w:spacing w:after="40"/>
        <w:ind w:left="259"/>
      </w:pPr>
      <w:r>
        <w:t>3 minutes: prayer or licensed congregational singing.</w:t>
      </w:r>
    </w:p>
    <w:p>
      <w:pPr>
        <w:pStyle w:val="Heading2"/>
        <w:spacing w:before="0" w:after="80"/>
      </w:pPr>
      <w:r>
        <w:rPr>
          <w:b w:val="0"/>
          <w:i w:val="0"/>
        </w:rPr>
        <w:t>Sources represented in the JSON data</w:t>
      </w:r>
    </w:p>
    <w:p>
      <w:pPr>
        <w:pStyle w:val="ListBullet"/>
        <w:spacing w:after="40"/>
        <w:ind w:left="259"/>
      </w:pPr>
      <w:r>
        <w:t>Discipleship Ministries: History of Hymns, Pass It On</w:t>
      </w:r>
    </w:p>
    <w:p>
      <w:pPr>
        <w:pStyle w:val="ListBullet"/>
        <w:spacing w:after="40"/>
        <w:ind w:left="259"/>
      </w:pPr>
      <w:r>
        <w:t>Hymnary.org: Pass It On / It only takes a spark to get a fire going</w:t>
      </w:r>
    </w:p>
    <w:p>
      <w:pPr>
        <w:pStyle w:val="ListBullet"/>
        <w:spacing w:after="40"/>
        <w:ind w:left="259"/>
      </w:pPr>
      <w:r>
        <w:t>Hymnary.org tune entry: PASS IT ON (Kaiser)</w:t>
      </w:r>
    </w:p>
    <w:p>
      <w:pPr>
        <w:pStyle w:val="ListBullet"/>
        <w:spacing w:after="40"/>
        <w:ind w:left="259"/>
      </w:pPr>
      <w:r>
        <w:t>The United Methodist Hymnal #572</w:t>
      </w:r>
    </w:p>
    <w:p>
      <w:pPr>
        <w:pStyle w:val="ListBullet"/>
        <w:spacing w:after="40"/>
        <w:ind w:left="259"/>
      </w:pPr>
      <w:r>
        <w:t>The Baptist Hymnal, 1975 edition, #287</w:t>
      </w:r>
    </w:p>
    <w:p>
      <w:pPr>
        <w:pStyle w:val="ListBullet"/>
        <w:spacing w:after="40"/>
        <w:ind w:left="259"/>
      </w:pPr>
      <w:r>
        <w:t>Tell It Like It Is: A Folk Musical About God, 1969</w:t>
      </w:r>
    </w:p>
    <w:p>
      <w:pPr>
        <w:pStyle w:val="ListBullet"/>
        <w:spacing w:after="40"/>
        <w:ind w:left="259"/>
      </w:pPr>
      <w:r>
        <w:t>Christianity Today obituary and biographical coverage of Kurt Kaiser, 2018</w:t>
      </w:r>
    </w:p>
    <w:p>
      <w:pPr>
        <w:pStyle w:val="ListBullet"/>
        <w:spacing w:after="40"/>
        <w:ind w:left="259"/>
      </w:pPr>
      <w:r>
        <w:t>World English Bible, public domain scripture text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  <w:pgBorders w:offsetFrom="page">
        <w:top w:val="single" w:sz="8" w:space="24" w:color="E2C38F"/>
        <w:left w:val="single" w:sz="8" w:space="24" w:color="E2C38F"/>
        <w:bottom w:val="single" w:sz="8" w:space="24" w:color="E2C38F"/>
        <w:right w:val="single" w:sz="8" w:space="24" w:color="E2C38F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8F775C"/>
        <w:sz w:val="16"/>
      </w:rPr>
      <w:t>HymnInfo Teaching Resource • Pass It 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color w:val="8F775C"/>
        <w:sz w:val="16"/>
      </w:rPr>
      <w:t>Small Group Handout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4B2B1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 w:eastAsia="Georgia"/>
      <w:b/>
      <w:bCs/>
      <w:color w:val="1721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 w:eastAsia="Georgia"/>
      <w:b/>
      <w:bCs/>
      <w:color w:val="1721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 w:eastAsia="Georgia"/>
      <w:b/>
      <w:bCs/>
      <w:color w:val="17213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 w:eastAsia="Georgia"/>
      <w:color w:val="1721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