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07233A"/>
          <w:sz w:val="44"/>
        </w:rPr>
        <w:t>Rescue the Perishing</w:t>
      </w:r>
    </w:p>
    <w:p>
      <w:pPr>
        <w:jc w:val="center"/>
      </w:pPr>
      <w:r>
        <w:rPr>
          <w:rFonts w:ascii="Georgia" w:hAnsi="Georgia"/>
          <w:b/>
          <w:color w:val="487047"/>
          <w:sz w:val="28"/>
        </w:rPr>
        <w:t>Small Group Handout</w:t>
      </w:r>
    </w:p>
    <w:p>
      <w:r>
        <w:t>Purpose: To help a group see how the mercy of Jesus moves the church toward compassionate witness, patient restoration, and practical care for people who are wandering or wounded.</w:t>
      </w:r>
    </w:p>
    <w:p>
      <w:pPr>
        <w:pStyle w:val="Heading1"/>
      </w:pPr>
      <w:r>
        <w:t>Opening Reflection</w:t>
      </w:r>
    </w:p>
    <w:p>
      <w:pPr>
        <w:pStyle w:val="ListBullet"/>
      </w:pPr>
      <w:r>
        <w:t>When have you seen compassion open a door that argument could not open?</w:t>
      </w:r>
    </w:p>
    <w:p>
      <w:pPr>
        <w:pStyle w:val="ListBullet"/>
      </w:pPr>
      <w:r>
        <w:t>What makes it hard for Christians to speak truth with both courage and gentleness?</w:t>
      </w:r>
    </w:p>
    <w:p>
      <w:pPr>
        <w:pStyle w:val="ListBullet"/>
      </w:pPr>
      <w:r>
        <w:t>Who are the overlooked people in our community that need mercy, friendship, and hope?</w:t>
      </w:r>
    </w:p>
    <w:p>
      <w:pPr>
        <w:pStyle w:val="Heading1"/>
      </w:pPr>
      <w:r>
        <w:t>Hymn Snapshot</w:t>
      </w:r>
    </w:p>
    <w:tbl>
      <w:tblPr>
        <w:tblStyle w:val="TableGrid"/>
        <w:tblW w:type="auto" w:w="0"/>
        <w:jc w:val="center"/>
        <w:tblLook w:firstColumn="1" w:firstRow="1" w:lastColumn="0" w:lastRow="0" w:noHBand="0" w:noVBand="1" w:val="04A0"/>
      </w:tblPr>
      <w:tblGrid>
        <w:gridCol w:w="5227"/>
        <w:gridCol w:w="5227"/>
      </w:tblGrid>
      <w:tr>
        <w:tc>
          <w:tcPr>
            <w:tcW w:type="dxa" w:w="5227"/>
            <w:vAlign w:val="center"/>
            <w:shd w:fill="07233A"/>
          </w:tcPr>
          <w:p>
            <w:r/>
            <w:r>
              <w:rPr>
                <w:rFonts w:ascii="Aptos" w:hAnsi="Aptos"/>
                <w:b/>
                <w:color w:val="FFFFFF"/>
                <w:sz w:val="19"/>
              </w:rPr>
              <w:t>Author</w:t>
            </w:r>
          </w:p>
        </w:tc>
        <w:tc>
          <w:tcPr>
            <w:tcW w:type="dxa" w:w="5227"/>
            <w:vAlign w:val="center"/>
          </w:tcPr>
          <w:p>
            <w:r/>
            <w:r>
              <w:rPr>
                <w:rFonts w:ascii="Aptos" w:hAnsi="Aptos"/>
                <w:b w:val="0"/>
                <w:color w:val="222526"/>
                <w:sz w:val="19"/>
              </w:rPr>
              <w:t>Frances Jane Crosby (1820-1915)</w:t>
            </w:r>
          </w:p>
        </w:tc>
      </w:tr>
      <w:tr>
        <w:tc>
          <w:tcPr>
            <w:tcW w:type="dxa" w:w="5227"/>
            <w:vAlign w:val="center"/>
            <w:shd w:fill="07233A"/>
          </w:tcPr>
          <w:p>
            <w:r/>
            <w:r>
              <w:rPr>
                <w:rFonts w:ascii="Aptos" w:hAnsi="Aptos"/>
                <w:b/>
                <w:color w:val="FFFFFF"/>
                <w:sz w:val="19"/>
              </w:rPr>
              <w:t>Composer</w:t>
            </w:r>
          </w:p>
        </w:tc>
        <w:tc>
          <w:tcPr>
            <w:tcW w:type="dxa" w:w="5227"/>
            <w:vAlign w:val="center"/>
          </w:tcPr>
          <w:p>
            <w:r/>
            <w:r>
              <w:rPr>
                <w:rFonts w:ascii="Aptos" w:hAnsi="Aptos"/>
                <w:b w:val="0"/>
                <w:color w:val="222526"/>
                <w:sz w:val="19"/>
              </w:rPr>
              <w:t>William Howard Doane (1832-1915)</w:t>
            </w:r>
          </w:p>
        </w:tc>
      </w:tr>
      <w:tr>
        <w:tc>
          <w:tcPr>
            <w:tcW w:type="dxa" w:w="5227"/>
            <w:vAlign w:val="center"/>
            <w:shd w:fill="07233A"/>
          </w:tcPr>
          <w:p>
            <w:r/>
            <w:r>
              <w:rPr>
                <w:rFonts w:ascii="Aptos" w:hAnsi="Aptos"/>
                <w:b/>
                <w:color w:val="FFFFFF"/>
                <w:sz w:val="19"/>
              </w:rPr>
              <w:t>Tune</w:t>
            </w:r>
          </w:p>
        </w:tc>
        <w:tc>
          <w:tcPr>
            <w:tcW w:type="dxa" w:w="5227"/>
            <w:vAlign w:val="center"/>
          </w:tcPr>
          <w:p>
            <w:r/>
            <w:r>
              <w:rPr>
                <w:rFonts w:ascii="Aptos" w:hAnsi="Aptos"/>
                <w:b w:val="0"/>
                <w:color w:val="222526"/>
                <w:sz w:val="19"/>
              </w:rPr>
              <w:t>RESCUE</w:t>
            </w:r>
          </w:p>
        </w:tc>
      </w:tr>
      <w:tr>
        <w:tc>
          <w:tcPr>
            <w:tcW w:type="dxa" w:w="5227"/>
            <w:vAlign w:val="center"/>
            <w:shd w:fill="07233A"/>
          </w:tcPr>
          <w:p>
            <w:r/>
            <w:r>
              <w:rPr>
                <w:rFonts w:ascii="Aptos" w:hAnsi="Aptos"/>
                <w:b/>
                <w:color w:val="FFFFFF"/>
                <w:sz w:val="19"/>
              </w:rPr>
              <w:t>Year</w:t>
            </w:r>
          </w:p>
        </w:tc>
        <w:tc>
          <w:tcPr>
            <w:tcW w:type="dxa" w:w="5227"/>
            <w:vAlign w:val="center"/>
          </w:tcPr>
          <w:p>
            <w:r/>
            <w:r>
              <w:rPr>
                <w:rFonts w:ascii="Aptos" w:hAnsi="Aptos"/>
                <w:b w:val="0"/>
                <w:color w:val="222526"/>
                <w:sz w:val="19"/>
              </w:rPr>
              <w:t>1869; first published in a gospel-song collection in 1870</w:t>
            </w:r>
          </w:p>
        </w:tc>
      </w:tr>
      <w:tr>
        <w:tc>
          <w:tcPr>
            <w:tcW w:type="dxa" w:w="5227"/>
            <w:vAlign w:val="center"/>
            <w:shd w:fill="07233A"/>
          </w:tcPr>
          <w:p>
            <w:r/>
            <w:r>
              <w:rPr>
                <w:rFonts w:ascii="Aptos" w:hAnsi="Aptos"/>
                <w:b/>
                <w:color w:val="FFFFFF"/>
                <w:sz w:val="19"/>
              </w:rPr>
              <w:t>Main theme</w:t>
            </w:r>
          </w:p>
        </w:tc>
        <w:tc>
          <w:tcPr>
            <w:tcW w:type="dxa" w:w="5227"/>
            <w:vAlign w:val="center"/>
          </w:tcPr>
          <w:p>
            <w:r/>
            <w:r>
              <w:rPr>
                <w:rFonts w:ascii="Aptos" w:hAnsi="Aptos"/>
                <w:b w:val="0"/>
                <w:color w:val="222526"/>
                <w:sz w:val="19"/>
              </w:rPr>
              <w:t>Compassionate evangelism rooted in the mercy of Jesus</w:t>
            </w:r>
          </w:p>
        </w:tc>
      </w:tr>
      <w:tr>
        <w:tc>
          <w:tcPr>
            <w:tcW w:type="dxa" w:w="5227"/>
            <w:vAlign w:val="center"/>
            <w:shd w:fill="07233A"/>
          </w:tcPr>
          <w:p>
            <w:r/>
            <w:r>
              <w:rPr>
                <w:rFonts w:ascii="Aptos" w:hAnsi="Aptos"/>
                <w:b/>
                <w:color w:val="FFFFFF"/>
                <w:sz w:val="19"/>
              </w:rPr>
              <w:t>Useful settings</w:t>
            </w:r>
          </w:p>
        </w:tc>
        <w:tc>
          <w:tcPr>
            <w:tcW w:type="dxa" w:w="5227"/>
            <w:vAlign w:val="center"/>
          </w:tcPr>
          <w:p>
            <w:r/>
            <w:r>
              <w:rPr>
                <w:rFonts w:ascii="Aptos" w:hAnsi="Aptos"/>
                <w:b w:val="0"/>
                <w:color w:val="222526"/>
                <w:sz w:val="19"/>
              </w:rPr>
              <w:t>Mission emphasis, outreach, restoration, prayer for wanderers</w:t>
            </w:r>
          </w:p>
        </w:tc>
      </w:tr>
    </w:tbl>
    <w:p>
      <w:pPr>
        <w:pStyle w:val="Heading1"/>
      </w:pPr>
      <w:r>
        <w:t>Scripture Foundation</w:t>
      </w:r>
    </w:p>
    <w:p>
      <w:r>
        <w:t>Primary text: James 5:19-20. The passage speaks of turning back a wanderer and saving a soul from death. It gives biblical weight to the hymn’s urgency and restoration theme.</w:t>
      </w:r>
    </w:p>
    <w:p>
      <w:r>
        <w:t>Supporting Scriptures: Luke 15:4-7; Jude 22-23; Ezekiel 33:11; Luke 19:10. Together these passages show that God seeks the lost, calls sinners to life, and sends His people to act with mercy.</w:t>
      </w:r>
    </w:p>
    <w:p>
      <w:pPr>
        <w:pStyle w:val="Heading1"/>
      </w:pPr>
      <w:r>
        <w:t>Hymn Movement Study</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07233A"/>
          </w:tcPr>
          <w:p>
            <w:r/>
            <w:r>
              <w:rPr>
                <w:rFonts w:ascii="Aptos" w:hAnsi="Aptos"/>
                <w:b/>
                <w:color w:val="FFFFFF"/>
                <w:sz w:val="19"/>
              </w:rPr>
              <w:t>Hymn Movement</w:t>
            </w:r>
          </w:p>
        </w:tc>
        <w:tc>
          <w:tcPr>
            <w:tcW w:type="dxa" w:w="3485"/>
            <w:shd w:fill="07233A"/>
          </w:tcPr>
          <w:p>
            <w:r/>
            <w:r>
              <w:rPr>
                <w:rFonts w:ascii="Aptos" w:hAnsi="Aptos"/>
                <w:b/>
                <w:color w:val="FFFFFF"/>
                <w:sz w:val="19"/>
              </w:rPr>
              <w:t>Biblical Connection</w:t>
            </w:r>
          </w:p>
        </w:tc>
        <w:tc>
          <w:tcPr>
            <w:tcW w:type="dxa" w:w="3485"/>
            <w:shd w:fill="07233A"/>
          </w:tcPr>
          <w:p>
            <w:r/>
            <w:r>
              <w:rPr>
                <w:rFonts w:ascii="Aptos" w:hAnsi="Aptos"/>
                <w:b/>
                <w:color w:val="FFFFFF"/>
                <w:sz w:val="19"/>
              </w:rPr>
              <w:t>Discussion Prompt</w:t>
            </w:r>
          </w:p>
        </w:tc>
      </w:tr>
      <w:tr>
        <w:tc>
          <w:tcPr>
            <w:tcW w:type="dxa" w:w="3485"/>
          </w:tcPr>
          <w:p>
            <w:r/>
            <w:r>
              <w:rPr>
                <w:rFonts w:ascii="Aptos" w:hAnsi="Aptos"/>
                <w:b w:val="0"/>
                <w:color w:val="222526"/>
                <w:sz w:val="18"/>
              </w:rPr>
              <w:t>Compassionate rescue</w:t>
            </w:r>
          </w:p>
        </w:tc>
        <w:tc>
          <w:tcPr>
            <w:tcW w:type="dxa" w:w="3485"/>
          </w:tcPr>
          <w:p>
            <w:r/>
            <w:r>
              <w:rPr>
                <w:rFonts w:ascii="Aptos" w:hAnsi="Aptos"/>
                <w:b w:val="0"/>
                <w:color w:val="222526"/>
                <w:sz w:val="18"/>
              </w:rPr>
              <w:t>Luke 15:4-7</w:t>
            </w:r>
          </w:p>
        </w:tc>
        <w:tc>
          <w:tcPr>
            <w:tcW w:type="dxa" w:w="3485"/>
          </w:tcPr>
          <w:p>
            <w:r/>
            <w:r>
              <w:rPr>
                <w:rFonts w:ascii="Aptos" w:hAnsi="Aptos"/>
                <w:b w:val="0"/>
                <w:color w:val="222526"/>
                <w:sz w:val="18"/>
              </w:rPr>
              <w:t>How does God’s pursuit of the lost shape our posture toward people?</w:t>
            </w:r>
          </w:p>
        </w:tc>
      </w:tr>
      <w:tr>
        <w:tc>
          <w:tcPr>
            <w:tcW w:type="dxa" w:w="3485"/>
          </w:tcPr>
          <w:p>
            <w:r/>
            <w:r>
              <w:rPr>
                <w:rFonts w:ascii="Aptos" w:hAnsi="Aptos"/>
                <w:b w:val="0"/>
                <w:color w:val="222526"/>
                <w:sz w:val="18"/>
              </w:rPr>
              <w:t>Earnest and gentle pleading</w:t>
            </w:r>
          </w:p>
        </w:tc>
        <w:tc>
          <w:tcPr>
            <w:tcW w:type="dxa" w:w="3485"/>
          </w:tcPr>
          <w:p>
            <w:r/>
            <w:r>
              <w:rPr>
                <w:rFonts w:ascii="Aptos" w:hAnsi="Aptos"/>
                <w:b w:val="0"/>
                <w:color w:val="222526"/>
                <w:sz w:val="18"/>
              </w:rPr>
              <w:t>Jude 22-23</w:t>
            </w:r>
          </w:p>
        </w:tc>
        <w:tc>
          <w:tcPr>
            <w:tcW w:type="dxa" w:w="3485"/>
          </w:tcPr>
          <w:p>
            <w:r/>
            <w:r>
              <w:rPr>
                <w:rFonts w:ascii="Aptos" w:hAnsi="Aptos"/>
                <w:b w:val="0"/>
                <w:color w:val="222526"/>
                <w:sz w:val="18"/>
              </w:rPr>
              <w:t>Why must mercy guide the way we speak hard truths?</w:t>
            </w:r>
          </w:p>
        </w:tc>
      </w:tr>
      <w:tr>
        <w:tc>
          <w:tcPr>
            <w:tcW w:type="dxa" w:w="3485"/>
          </w:tcPr>
          <w:p>
            <w:r/>
            <w:r>
              <w:rPr>
                <w:rFonts w:ascii="Aptos" w:hAnsi="Aptos"/>
                <w:b w:val="0"/>
                <w:color w:val="222526"/>
                <w:sz w:val="18"/>
              </w:rPr>
              <w:t>Grace can restore what is broken</w:t>
            </w:r>
          </w:p>
        </w:tc>
        <w:tc>
          <w:tcPr>
            <w:tcW w:type="dxa" w:w="3485"/>
          </w:tcPr>
          <w:p>
            <w:r/>
            <w:r>
              <w:rPr>
                <w:rFonts w:ascii="Aptos" w:hAnsi="Aptos"/>
                <w:b w:val="0"/>
                <w:color w:val="222526"/>
                <w:sz w:val="18"/>
              </w:rPr>
              <w:t>James 5:19-20</w:t>
            </w:r>
          </w:p>
        </w:tc>
        <w:tc>
          <w:tcPr>
            <w:tcW w:type="dxa" w:w="3485"/>
          </w:tcPr>
          <w:p>
            <w:r/>
            <w:r>
              <w:rPr>
                <w:rFonts w:ascii="Aptos" w:hAnsi="Aptos"/>
                <w:b w:val="0"/>
                <w:color w:val="222526"/>
                <w:sz w:val="18"/>
              </w:rPr>
              <w:t>Where have you seen patient love help someone return?</w:t>
            </w:r>
          </w:p>
        </w:tc>
      </w:tr>
      <w:tr>
        <w:tc>
          <w:tcPr>
            <w:tcW w:type="dxa" w:w="3485"/>
          </w:tcPr>
          <w:p>
            <w:r/>
            <w:r>
              <w:rPr>
                <w:rFonts w:ascii="Aptos" w:hAnsi="Aptos"/>
                <w:b w:val="0"/>
                <w:color w:val="222526"/>
                <w:sz w:val="18"/>
              </w:rPr>
              <w:t>Strength for sustained service</w:t>
            </w:r>
          </w:p>
        </w:tc>
        <w:tc>
          <w:tcPr>
            <w:tcW w:type="dxa" w:w="3485"/>
          </w:tcPr>
          <w:p>
            <w:r/>
            <w:r>
              <w:rPr>
                <w:rFonts w:ascii="Aptos" w:hAnsi="Aptos"/>
                <w:b w:val="0"/>
                <w:color w:val="222526"/>
                <w:sz w:val="18"/>
              </w:rPr>
              <w:t>Luke 19:10</w:t>
            </w:r>
          </w:p>
        </w:tc>
        <w:tc>
          <w:tcPr>
            <w:tcW w:type="dxa" w:w="3485"/>
          </w:tcPr>
          <w:p>
            <w:r/>
            <w:r>
              <w:rPr>
                <w:rFonts w:ascii="Aptos" w:hAnsi="Aptos"/>
                <w:b w:val="0"/>
                <w:color w:val="222526"/>
                <w:sz w:val="18"/>
              </w:rPr>
              <w:t>What ministries of care or restoration need our prayer and help?</w:t>
            </w:r>
          </w:p>
        </w:tc>
      </w:tr>
    </w:tbl>
    <w:p>
      <w:pPr>
        <w:pStyle w:val="Heading1"/>
      </w:pPr>
      <w:r>
        <w:t>Discussion Questions</w:t>
      </w:r>
    </w:p>
    <w:p>
      <w:pPr>
        <w:pStyle w:val="ListNumber"/>
      </w:pPr>
      <w:r>
        <w:t>What words or images in the hymn’s title and refrain make its message clear?</w:t>
      </w:r>
    </w:p>
    <w:p>
      <w:pPr>
        <w:pStyle w:val="ListNumber"/>
      </w:pPr>
      <w:r>
        <w:t>How does the hymn connect evangelism with compassion rather than judgment?</w:t>
      </w:r>
    </w:p>
    <w:p>
      <w:pPr>
        <w:pStyle w:val="ListNumber"/>
      </w:pPr>
      <w:r>
        <w:t>What does Luke 15 teach about the joy of finding the lost?</w:t>
      </w:r>
    </w:p>
    <w:p>
      <w:pPr>
        <w:pStyle w:val="ListNumber"/>
      </w:pPr>
      <w:r>
        <w:t>How do we avoid treating people in need as projects instead of neighbors?</w:t>
      </w:r>
    </w:p>
    <w:p>
      <w:pPr>
        <w:pStyle w:val="ListNumber"/>
      </w:pPr>
      <w:r>
        <w:t>What is the difference between urgent witness and pushy witness?</w:t>
      </w:r>
    </w:p>
    <w:p>
      <w:pPr>
        <w:pStyle w:val="ListNumber"/>
      </w:pPr>
      <w:r>
        <w:t>What role should prayer have in restoring someone who has wandered?</w:t>
      </w:r>
    </w:p>
    <w:p>
      <w:pPr>
        <w:pStyle w:val="ListNumber"/>
      </w:pPr>
      <w:r>
        <w:t>Where is our group being called to practice mercy more concretely?</w:t>
      </w:r>
    </w:p>
    <w:p>
      <w:pPr>
        <w:pStyle w:val="ListNumber"/>
      </w:pPr>
      <w:r>
        <w:t>How can our church support ministries that serve the poor, lonely, addicted, incarcerated, or spiritually discouraged?</w:t>
      </w:r>
    </w:p>
    <w:p>
      <w:pPr>
        <w:pStyle w:val="Heading1"/>
      </w:pPr>
      <w:r>
        <w:t>Practice This Week</w:t>
      </w:r>
    </w:p>
    <w:p>
      <w:pPr>
        <w:pStyle w:val="ListBullet"/>
      </w:pPr>
      <w:r>
        <w:t>Pray daily for one person who needs mercy and hope in Christ.</w:t>
      </w:r>
    </w:p>
    <w:p>
      <w:pPr>
        <w:pStyle w:val="ListBullet"/>
      </w:pPr>
      <w:r>
        <w:t>Offer one practical act of care: a call, visit, meal, invitation, note, or ride.</w:t>
      </w:r>
    </w:p>
    <w:p>
      <w:pPr>
        <w:pStyle w:val="ListBullet"/>
      </w:pPr>
      <w:r>
        <w:t>Read Luke 15 slowly and ask God for the heart of the Shepherd.</w:t>
      </w:r>
    </w:p>
    <w:p>
      <w:pPr>
        <w:pStyle w:val="ListBullet"/>
      </w:pPr>
      <w:r>
        <w:t>Support a local outreach ministry with time, encouragement, or resources.</w:t>
      </w:r>
    </w:p>
    <w:p>
      <w:pPr>
        <w:pStyle w:val="Heading1"/>
      </w:pPr>
      <w:r>
        <w:t>Leader Notes</w:t>
      </w:r>
    </w:p>
    <w:p>
      <w:r>
        <w:t>Keep the conversation humble. The hymn is not an invitation to look down on others; it is a summons to love as people who have received mercy ourselves. Anchor the discussion in Jesus’ compassion and saving power.</w:t>
      </w:r>
    </w:p>
    <w:p>
      <w:pPr>
        <w:pStyle w:val="Heading1"/>
      </w:pPr>
      <w:r>
        <w:t>Closing Prayer</w:t>
      </w:r>
    </w:p>
    <w:p>
      <w:r>
        <w:t>Lord Jesus, give us Your compassion for people who are wandering, wounded, afraid, or far from You. Teach us to speak truth gently, serve patiently, and trust Your mercy to restore what is broken. Amen.</w:t>
      </w:r>
    </w:p>
    <w:p>
      <w:pPr>
        <w:jc w:val="center"/>
      </w:pPr>
      <w:r>
        <w:rPr>
          <w:rFonts w:ascii="Aptos" w:hAnsi="Aptos"/>
          <w:color w:val="505050"/>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05050"/>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07233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8704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0723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Rescue the Perishing Small Group Handout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