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50"/>
        <w:jc w:val="center"/>
      </w:pPr>
      <w:r>
        <w:rPr>
          <w:sz w:val="38"/>
        </w:rPr>
        <w:t>At the Cross: Where Sorrow Meets Grace</w:t>
      </w:r>
    </w:p>
    <w:p>
      <w:pPr>
        <w:spacing w:after="50"/>
        <w:jc w:val="center"/>
      </w:pPr>
      <w:r>
        <w:rPr>
          <w:rFonts w:ascii="Aptos" w:hAnsi="Aptos"/>
          <w:i/>
          <w:color w:val="5F473E"/>
          <w:sz w:val="19"/>
        </w:rPr>
        <w:t>A sermon outline from the biblical themes of the hymn</w:t>
      </w:r>
    </w:p>
    <w:p>
      <w:pPr>
        <w:pStyle w:val="Heading1"/>
        <w:spacing w:after="60"/>
      </w:pPr>
      <w:r>
        <w:rPr>
          <w:sz w:val="25"/>
        </w:rPr>
        <w:t>Main Text and Supporting Scriptures</w:t>
      </w:r>
    </w:p>
    <w:p>
      <w:pPr>
        <w:spacing w:after="50"/>
      </w:pPr>
      <w:r>
        <w:rPr>
          <w:rFonts w:ascii="Aptos" w:hAnsi="Aptos"/>
          <w:b w:val="0"/>
          <w:sz w:val="19"/>
        </w:rPr>
        <w:t>Main Text: Galatians 2:20. Supporting Scriptures: Isaiah 53:4-5; Romans 5:8; 1 Peter 2:24; Colossians 2:13-14.</w:t>
      </w:r>
    </w:p>
    <w:p>
      <w:pPr>
        <w:pStyle w:val="Heading1"/>
        <w:spacing w:after="60"/>
      </w:pPr>
      <w:r>
        <w:rPr>
          <w:sz w:val="25"/>
        </w:rPr>
        <w:t>Big Idea</w:t>
      </w:r>
    </w:p>
    <w:p>
      <w:pPr>
        <w:spacing w:after="50"/>
      </w:pPr>
      <w:r>
        <w:rPr>
          <w:rFonts w:ascii="Aptos" w:hAnsi="Aptos"/>
          <w:b/>
          <w:sz w:val="19"/>
        </w:rPr>
        <w:t>At the cross, Christ bears our sin, reveals God’s love, and calls us into repentant, grateful, surrendered faith.</w:t>
      </w:r>
    </w:p>
    <w:p>
      <w:pPr>
        <w:pStyle w:val="Heading1"/>
        <w:spacing w:after="60"/>
      </w:pPr>
      <w:r>
        <w:rPr>
          <w:sz w:val="25"/>
        </w:rPr>
        <w:t>Introduction</w:t>
      </w:r>
    </w:p>
    <w:p>
      <w:pPr>
        <w:spacing w:after="50"/>
      </w:pPr>
      <w:r>
        <w:rPr>
          <w:rFonts w:ascii="Aptos" w:hAnsi="Aptos"/>
          <w:b w:val="0"/>
          <w:sz w:val="19"/>
        </w:rPr>
        <w:t>Many people know how to feel regret, but not how to bring regret to Christ. Watts’s hymn helps us stand where Christian repentance becomes hope: not in vague sorrow, but at the cross where the Son of God loved us and gave himself for us.</w:t>
      </w:r>
    </w:p>
    <w:p>
      <w:pPr>
        <w:pStyle w:val="Heading1"/>
        <w:spacing w:after="60"/>
      </w:pPr>
      <w:r>
        <w:rPr>
          <w:sz w:val="25"/>
        </w:rPr>
        <w:t>1. The Cross Awakens Holy Wonder</w:t>
      </w:r>
    </w:p>
    <w:p>
      <w:pPr>
        <w:spacing w:after="50"/>
      </w:pPr>
      <w:r>
        <w:rPr>
          <w:rFonts w:ascii="Aptos" w:hAnsi="Aptos"/>
          <w:b w:val="0"/>
          <w:sz w:val="19"/>
        </w:rPr>
        <w:t>Explanation: The hymn begins with astonishment. The suffering of Christ is not treated as a familiar religious scene but as a mercy beyond ordinary explanation.</w:t>
      </w:r>
    </w:p>
    <w:p>
      <w:pPr>
        <w:spacing w:after="50"/>
      </w:pPr>
      <w:r>
        <w:rPr>
          <w:rFonts w:ascii="Aptos" w:hAnsi="Aptos"/>
          <w:b w:val="0"/>
          <w:sz w:val="19"/>
        </w:rPr>
        <w:t>Hymn connection: Watts invites the singer to pause before the Savior’s suffering and ask why such love would be shown to sinners.</w:t>
      </w:r>
    </w:p>
    <w:p>
      <w:pPr>
        <w:spacing w:after="50"/>
      </w:pPr>
      <w:r>
        <w:rPr>
          <w:rFonts w:ascii="Aptos" w:hAnsi="Aptos"/>
          <w:b w:val="0"/>
          <w:sz w:val="19"/>
        </w:rPr>
        <w:t>Biblical support: Galatians 2:20 makes the cross personal: the Son of God loved me and gave himself for me.</w:t>
      </w:r>
    </w:p>
    <w:p>
      <w:pPr>
        <w:spacing w:after="50"/>
      </w:pPr>
      <w:r>
        <w:rPr>
          <w:rFonts w:ascii="Aptos" w:hAnsi="Aptos"/>
          <w:b w:val="0"/>
          <w:sz w:val="19"/>
        </w:rPr>
        <w:t>Illustration idea: A gift becomes weightier when we realize what it cost the giver.</w:t>
      </w:r>
    </w:p>
    <w:p>
      <w:pPr>
        <w:spacing w:after="50"/>
      </w:pPr>
      <w:r>
        <w:rPr>
          <w:rFonts w:ascii="Aptos" w:hAnsi="Aptos"/>
          <w:b w:val="0"/>
          <w:sz w:val="19"/>
        </w:rPr>
        <w:t>Application: Do not rush past Calvary. Begin worship with wonder.</w:t>
      </w:r>
    </w:p>
    <w:p>
      <w:pPr>
        <w:pStyle w:val="Heading1"/>
        <w:spacing w:after="60"/>
      </w:pPr>
      <w:r>
        <w:rPr>
          <w:sz w:val="25"/>
        </w:rPr>
        <w:t>2. The Cross Tells the Truth About Sin</w:t>
      </w:r>
    </w:p>
    <w:p>
      <w:pPr>
        <w:spacing w:after="50"/>
      </w:pPr>
      <w:r>
        <w:rPr>
          <w:rFonts w:ascii="Aptos" w:hAnsi="Aptos"/>
          <w:b w:val="0"/>
          <w:sz w:val="19"/>
        </w:rPr>
        <w:t>Explanation: The cross is not sentimental. It reveals that sin is not small, harmless, or easily dismissed.</w:t>
      </w:r>
    </w:p>
    <w:p>
      <w:pPr>
        <w:spacing w:after="50"/>
      </w:pPr>
      <w:r>
        <w:rPr>
          <w:rFonts w:ascii="Aptos" w:hAnsi="Aptos"/>
          <w:b w:val="0"/>
          <w:sz w:val="19"/>
        </w:rPr>
        <w:t>Hymn connection: The hymn’s sorrow is moral and spiritual, not merely emotional.</w:t>
      </w:r>
    </w:p>
    <w:p>
      <w:pPr>
        <w:spacing w:after="50"/>
      </w:pPr>
      <w:r>
        <w:rPr>
          <w:rFonts w:ascii="Aptos" w:hAnsi="Aptos"/>
          <w:b w:val="0"/>
          <w:sz w:val="19"/>
        </w:rPr>
        <w:t>Biblical support: Isaiah 53:4-5 speaks of the servant pierced for transgressions and crushed for iniquities.</w:t>
      </w:r>
    </w:p>
    <w:p>
      <w:pPr>
        <w:spacing w:after="50"/>
      </w:pPr>
      <w:r>
        <w:rPr>
          <w:rFonts w:ascii="Aptos" w:hAnsi="Aptos"/>
          <w:b w:val="0"/>
          <w:sz w:val="19"/>
        </w:rPr>
        <w:t>Illustration idea: A wound that is ignored cannot be healed; naming the sickness prepares us to receive the cure.</w:t>
      </w:r>
    </w:p>
    <w:p>
      <w:pPr>
        <w:spacing w:after="50"/>
      </w:pPr>
      <w:r>
        <w:rPr>
          <w:rFonts w:ascii="Aptos" w:hAnsi="Aptos"/>
          <w:b w:val="0"/>
          <w:sz w:val="19"/>
        </w:rPr>
        <w:t>Application: Bring sin into the light of the cross rather than hiding it behind excuses.</w:t>
      </w:r>
    </w:p>
    <w:p>
      <w:pPr>
        <w:pStyle w:val="Heading1"/>
        <w:spacing w:after="60"/>
      </w:pPr>
      <w:r>
        <w:rPr>
          <w:sz w:val="25"/>
        </w:rPr>
        <w:t>3. The Cross Proves the Love of God</w:t>
      </w:r>
    </w:p>
    <w:p>
      <w:pPr>
        <w:spacing w:after="50"/>
      </w:pPr>
      <w:r>
        <w:rPr>
          <w:rFonts w:ascii="Aptos" w:hAnsi="Aptos"/>
          <w:b w:val="0"/>
          <w:sz w:val="19"/>
        </w:rPr>
        <w:t>Explanation: God’s love is not a slogan; it is demonstrated in the death of Christ for sinners.</w:t>
      </w:r>
    </w:p>
    <w:p>
      <w:pPr>
        <w:spacing w:after="50"/>
      </w:pPr>
      <w:r>
        <w:rPr>
          <w:rFonts w:ascii="Aptos" w:hAnsi="Aptos"/>
          <w:b w:val="0"/>
          <w:sz w:val="19"/>
        </w:rPr>
        <w:t>Hymn connection: The hymn moves from grief to gratitude because the cross is not only judgment on sin but mercy for sinners.</w:t>
      </w:r>
    </w:p>
    <w:p>
      <w:pPr>
        <w:spacing w:after="50"/>
      </w:pPr>
      <w:r>
        <w:rPr>
          <w:rFonts w:ascii="Aptos" w:hAnsi="Aptos"/>
          <w:b w:val="0"/>
          <w:sz w:val="19"/>
        </w:rPr>
        <w:t>Biblical support: Romans 5:8 declares that Christ died for us while we were still sinners.</w:t>
      </w:r>
    </w:p>
    <w:p>
      <w:pPr>
        <w:spacing w:after="50"/>
      </w:pPr>
      <w:r>
        <w:rPr>
          <w:rFonts w:ascii="Aptos" w:hAnsi="Aptos"/>
          <w:b w:val="0"/>
          <w:sz w:val="19"/>
        </w:rPr>
        <w:t>Illustration idea: Love shown when we are least deserving is love that cannot be explained by our worthiness.</w:t>
      </w:r>
    </w:p>
    <w:p>
      <w:pPr>
        <w:spacing w:after="50"/>
      </w:pPr>
      <w:r>
        <w:rPr>
          <w:rFonts w:ascii="Aptos" w:hAnsi="Aptos"/>
          <w:b w:val="0"/>
          <w:sz w:val="19"/>
        </w:rPr>
        <w:t>Application: Receive grace as gift, not as wages.</w:t>
      </w:r>
    </w:p>
    <w:p>
      <w:pPr>
        <w:pStyle w:val="Heading1"/>
        <w:spacing w:after="60"/>
      </w:pPr>
      <w:r>
        <w:rPr>
          <w:sz w:val="25"/>
        </w:rPr>
        <w:t>4. The Cross Calls for the Whole Life</w:t>
      </w:r>
    </w:p>
    <w:p>
      <w:pPr>
        <w:spacing w:after="50"/>
      </w:pPr>
      <w:r>
        <w:rPr>
          <w:rFonts w:ascii="Aptos" w:hAnsi="Aptos"/>
          <w:b w:val="0"/>
          <w:sz w:val="19"/>
        </w:rPr>
        <w:t>Explanation: The fitting response to redeeming love is not repayment but surrender.</w:t>
      </w:r>
    </w:p>
    <w:p>
      <w:pPr>
        <w:spacing w:after="50"/>
      </w:pPr>
      <w:r>
        <w:rPr>
          <w:rFonts w:ascii="Aptos" w:hAnsi="Aptos"/>
          <w:b w:val="0"/>
          <w:sz w:val="19"/>
        </w:rPr>
        <w:t>Hymn connection: Watts’s final movement points beyond tears toward the offering of the self to God.</w:t>
      </w:r>
    </w:p>
    <w:p>
      <w:pPr>
        <w:spacing w:after="50"/>
      </w:pPr>
      <w:r>
        <w:rPr>
          <w:rFonts w:ascii="Aptos" w:hAnsi="Aptos"/>
          <w:b w:val="0"/>
          <w:sz w:val="19"/>
        </w:rPr>
        <w:t>Biblical support: 1 Peter 2:24 says Christ bore our sins so that we might live to righteousness.</w:t>
      </w:r>
    </w:p>
    <w:p>
      <w:pPr>
        <w:spacing w:after="50"/>
      </w:pPr>
      <w:r>
        <w:rPr>
          <w:rFonts w:ascii="Aptos" w:hAnsi="Aptos"/>
          <w:b w:val="0"/>
          <w:sz w:val="19"/>
        </w:rPr>
        <w:t>Illustration idea: A rescued person does not pay the rescuer back; he lives differently because he has been saved.</w:t>
      </w:r>
    </w:p>
    <w:p>
      <w:pPr>
        <w:spacing w:after="50"/>
      </w:pPr>
      <w:r>
        <w:rPr>
          <w:rFonts w:ascii="Aptos" w:hAnsi="Aptos"/>
          <w:b w:val="0"/>
          <w:sz w:val="19"/>
        </w:rPr>
        <w:t>Application: Ask what gratitude should change in your habits, words, relationships, and worship.</w:t>
      </w:r>
    </w:p>
    <w:p>
      <w:pPr>
        <w:pStyle w:val="Heading1"/>
        <w:spacing w:after="60"/>
      </w:pPr>
      <w:r>
        <w:rPr>
          <w:sz w:val="25"/>
        </w:rPr>
        <w:t>Gospel Connection</w:t>
      </w:r>
    </w:p>
    <w:p>
      <w:pPr>
        <w:spacing w:after="50"/>
      </w:pPr>
      <w:r>
        <w:rPr>
          <w:rFonts w:ascii="Aptos" w:hAnsi="Aptos"/>
          <w:b w:val="0"/>
          <w:sz w:val="19"/>
        </w:rPr>
        <w:t>The good news is not that sinners finally become worthy of God’s love. The good news is that Christ gave himself for sinners, bore sin in his body, canceled the record against us, and brings the guilty into forgiveness and new life.</w:t>
      </w:r>
    </w:p>
    <w:p>
      <w:pPr>
        <w:pStyle w:val="Heading1"/>
        <w:spacing w:after="60"/>
      </w:pPr>
      <w:r>
        <w:rPr>
          <w:sz w:val="25"/>
        </w:rPr>
        <w:t>Pastoral Applications</w:t>
      </w:r>
    </w:p>
    <w:p>
      <w:pPr>
        <w:pStyle w:val="ListBullet"/>
        <w:spacing w:after="50"/>
        <w:ind w:left="317"/>
      </w:pPr>
      <w:r>
        <w:rPr>
          <w:rFonts w:ascii="Aptos" w:hAnsi="Aptos"/>
          <w:sz w:val="19"/>
        </w:rPr>
        <w:t>To the repentant: do not stop at sorrow; come to Christ.</w:t>
      </w:r>
    </w:p>
    <w:p>
      <w:pPr>
        <w:pStyle w:val="ListBullet"/>
        <w:spacing w:after="50"/>
        <w:ind w:left="317"/>
      </w:pPr>
      <w:r>
        <w:rPr>
          <w:rFonts w:ascii="Aptos" w:hAnsi="Aptos"/>
          <w:sz w:val="19"/>
        </w:rPr>
        <w:t>To the ashamed: forgiveness rests on the Savior’s work, not your perfection.</w:t>
      </w:r>
    </w:p>
    <w:p>
      <w:pPr>
        <w:pStyle w:val="ListBullet"/>
        <w:spacing w:after="50"/>
        <w:ind w:left="317"/>
      </w:pPr>
      <w:r>
        <w:rPr>
          <w:rFonts w:ascii="Aptos" w:hAnsi="Aptos"/>
          <w:sz w:val="19"/>
        </w:rPr>
        <w:t>To the complacent: the cross will not let us call sin harmless.</w:t>
      </w:r>
    </w:p>
    <w:p>
      <w:pPr>
        <w:pStyle w:val="ListBullet"/>
        <w:spacing w:after="50"/>
        <w:ind w:left="317"/>
      </w:pPr>
      <w:r>
        <w:rPr>
          <w:rFonts w:ascii="Aptos" w:hAnsi="Aptos"/>
          <w:sz w:val="19"/>
        </w:rPr>
        <w:t>To the grateful: let love for Christ become obedience.</w:t>
      </w:r>
    </w:p>
    <w:p>
      <w:pPr>
        <w:pStyle w:val="ListBullet"/>
        <w:spacing w:after="50"/>
        <w:ind w:left="317"/>
      </w:pPr>
      <w:r>
        <w:rPr>
          <w:rFonts w:ascii="Aptos" w:hAnsi="Aptos"/>
          <w:sz w:val="19"/>
        </w:rPr>
        <w:t>To the worshiping church: sing the cross with reverence and joy.</w:t>
      </w:r>
    </w:p>
    <w:p>
      <w:pPr>
        <w:pStyle w:val="Heading1"/>
        <w:spacing w:after="60"/>
      </w:pPr>
      <w:r>
        <w:rPr>
          <w:sz w:val="25"/>
        </w:rPr>
        <w:t>Conclusion and Call to Response</w:t>
      </w:r>
    </w:p>
    <w:p>
      <w:pPr>
        <w:spacing w:after="50"/>
      </w:pPr>
      <w:r>
        <w:rPr>
          <w:rFonts w:ascii="Aptos" w:hAnsi="Aptos"/>
          <w:b w:val="0"/>
          <w:sz w:val="19"/>
        </w:rPr>
        <w:t>Come again to the cross. Bring your sin, your sorrow, your fear, and your self-reliance. Look to the Savior who loved you and gave himself for you. Then rise in gratitude to live for him.</w:t>
      </w:r>
    </w:p>
    <w:p>
      <w:pPr>
        <w:pStyle w:val="Heading1"/>
        <w:spacing w:after="60"/>
      </w:pPr>
      <w:r>
        <w:rPr>
          <w:sz w:val="25"/>
        </w:rPr>
        <w:t>Suggested Closing Prayer</w:t>
      </w:r>
    </w:p>
    <w:p>
      <w:pPr>
        <w:spacing w:after="50"/>
      </w:pPr>
      <w:r>
        <w:rPr>
          <w:rFonts w:ascii="Aptos" w:hAnsi="Aptos"/>
          <w:b w:val="0"/>
          <w:sz w:val="19"/>
        </w:rPr>
        <w:t>Merciful Savior, we thank you for the cross. Give us honest repentance, steady assurance, and grateful obedience. May our lives bear witness that we have been loved, forgiven, and claimed by you. Amen.</w:t>
      </w:r>
    </w:p>
    <w:p>
      <w:pPr>
        <w:spacing w:after="50"/>
      </w:pPr>
      <w:r>
        <w:rPr>
          <w:rFonts w:ascii="Aptos" w:hAnsi="Aptos"/>
          <w:b w:val="0"/>
          <w:sz w:val="19"/>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691" w:right="792" w:bottom="691"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eastAsia="Georgia"/>
      <w:b/>
      <w:bCs/>
      <w:color w:val="6B2D25"/>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8A4B3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b/>
      <w:color w:val="6B2D25"/>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 the Cross Sermon Outline</dc:title>
  <dc:subject>Hymn study resource</dc:subject>
  <dc:creator>HymnInfo.com</dc:creator>
  <cp:keywords>hymn study, Christian worship, church teaching, HymnInfo</cp:keywords>
  <dc:description>generated by python-docx</dc:description>
  <cp:lastModifiedBy/>
  <cp:revision>1</cp:revision>
  <dcterms:created xsi:type="dcterms:W3CDTF">2013-12-23T23:15:00Z</dcterms:created>
  <dcterms:modified xsi:type="dcterms:W3CDTF">2013-12-23T23:15:00Z</dcterms:modified>
  <cp:category/>
</cp:coreProperties>
</file>