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At the Cross</w:t>
      </w:r>
    </w:p>
    <w:p>
      <w:pPr>
        <w:jc w:val="center"/>
      </w:pPr>
      <w:r>
        <w:rPr>
          <w:rFonts w:ascii="Aptos" w:hAnsi="Aptos"/>
          <w:i/>
          <w:color w:val="5F473E"/>
          <w:sz w:val="22"/>
        </w:rPr>
        <w:t>A small-group study on repentance, grace, and assurance at Calvary</w:t>
      </w:r>
    </w:p>
    <w:p>
      <w:pPr>
        <w:pStyle w:val="Heading1"/>
      </w:pPr>
      <w:r>
        <w:t>Opening Reflection</w:t>
      </w:r>
    </w:p>
    <w:p>
      <w:pPr>
        <w:pStyle w:val="ListBullet"/>
        <w:spacing w:after="60"/>
        <w:ind w:left="317"/>
      </w:pPr>
      <w:r>
        <w:rPr>
          <w:rFonts w:ascii="Aptos" w:hAnsi="Aptos"/>
          <w:sz w:val="20"/>
        </w:rPr>
        <w:t>When have you felt both sorrow over wrong and gratitude for mercy?</w:t>
      </w:r>
    </w:p>
    <w:p>
      <w:pPr>
        <w:pStyle w:val="ListBullet"/>
        <w:spacing w:after="60"/>
        <w:ind w:left="317"/>
      </w:pPr>
      <w:r>
        <w:rPr>
          <w:rFonts w:ascii="Aptos" w:hAnsi="Aptos"/>
          <w:sz w:val="20"/>
        </w:rPr>
        <w:t>Why is it easy to admire the cross but resist repentance?</w:t>
      </w:r>
    </w:p>
    <w:p>
      <w:pPr>
        <w:pStyle w:val="ListBullet"/>
        <w:spacing w:after="60"/>
        <w:ind w:left="317"/>
      </w:pPr>
      <w:r>
        <w:rPr>
          <w:rFonts w:ascii="Aptos" w:hAnsi="Aptos"/>
          <w:sz w:val="20"/>
        </w:rPr>
        <w:t>What helps you receive assurance when guilt feels heavy?</w:t>
      </w:r>
    </w:p>
    <w:p>
      <w:pPr>
        <w:pStyle w:val="Heading1"/>
      </w:pPr>
      <w:r>
        <w:t>Brief Hymn Background</w:t>
      </w:r>
    </w:p>
    <w:p>
      <w:pPr>
        <w:spacing w:after="80"/>
      </w:pPr>
      <w:r>
        <w:rPr>
          <w:rFonts w:ascii="Aptos" w:hAnsi="Aptos"/>
          <w:b w:val="0"/>
          <w:sz w:val="21"/>
        </w:rPr>
        <w:t>At the Cross is the gospel-song form of Isaac Watts's 1707 hymn “Alas! and did my Savior bleed.” Watts wrote the original text as a meditation on godly sorrow arising from the sufferings of Christ. In the nineteenth century, Ralph Erskine Hudson added the familiar refrain and tune, giving the hymn a revival-song shape that emphasizes conversion and assurance.</w:t>
      </w:r>
    </w:p>
    <w:p>
      <w:pPr>
        <w:spacing w:after="80"/>
      </w:pPr>
      <w:r>
        <w:rPr>
          <w:rFonts w:ascii="Aptos" w:hAnsi="Aptos"/>
          <w:b w:val="0"/>
          <w:sz w:val="21"/>
        </w:rPr>
        <w:t>The hymn therefore brings together two gifts: Watts’s careful meditation on Christ’s atoning death and Hudson’s congregational testimony of grace received at the cross.</w:t>
      </w:r>
    </w:p>
    <w:p>
      <w:pPr>
        <w:pStyle w:val="Heading1"/>
      </w:pPr>
      <w:r>
        <w:t>Primary Scripture</w:t>
      </w:r>
    </w:p>
    <w:p>
      <w:pPr>
        <w:spacing w:after="80"/>
      </w:pPr>
      <w:r>
        <w:rPr>
          <w:rFonts w:ascii="Aptos" w:hAnsi="Aptos"/>
          <w:b w:val="0"/>
          <w:sz w:val="21"/>
        </w:rPr>
        <w:t>Galatians 2:20 - Christ loved me and gave himself up for me. Supporting passages: Isaiah 53:4-5; Romans 5:8; 1 Peter 2:24; Colossians 2:13-14.</w:t>
      </w:r>
    </w:p>
    <w:p>
      <w:pPr>
        <w:pStyle w:val="Heading1"/>
      </w:pPr>
      <w:r>
        <w:t>Stanza Movement</w:t>
      </w:r>
    </w:p>
    <w:tbl>
      <w:tblPr>
        <w:tblStyle w:val="TableGrid"/>
        <w:tblW w:type="auto" w:w="0"/>
        <w:jc w:val="center"/>
        <w:tblLook w:firstColumn="1" w:firstRow="1" w:lastColumn="0" w:lastRow="0" w:noHBand="0" w:noVBand="1" w:val="04A0"/>
      </w:tblPr>
      <w:tblGrid>
        <w:gridCol w:w="3504"/>
        <w:gridCol w:w="3504"/>
        <w:gridCol w:w="3504"/>
      </w:tblGrid>
      <w:tr>
        <w:tc>
          <w:tcPr>
            <w:tcW w:type="dxa" w:w="3504"/>
            <w:shd w:fill="6B2D25"/>
            <w:vAlign w:val="top"/>
          </w:tcPr>
          <w:p>
            <w:pPr>
              <w:spacing w:after="40"/>
            </w:pPr>
            <w:r/>
            <w:r>
              <w:rPr>
                <w:rFonts w:ascii="Aptos" w:hAnsi="Aptos"/>
                <w:b/>
                <w:color w:val="FFFFFF"/>
                <w:sz w:val="18"/>
              </w:rPr>
              <w:t>Hymn Movement</w:t>
            </w:r>
          </w:p>
        </w:tc>
        <w:tc>
          <w:tcPr>
            <w:tcW w:type="dxa" w:w="3504"/>
            <w:shd w:fill="6B2D25"/>
            <w:vAlign w:val="top"/>
          </w:tcPr>
          <w:p>
            <w:pPr>
              <w:spacing w:after="40"/>
            </w:pPr>
            <w:r/>
            <w:r>
              <w:rPr>
                <w:rFonts w:ascii="Aptos" w:hAnsi="Aptos"/>
                <w:b/>
                <w:color w:val="FFFFFF"/>
                <w:sz w:val="18"/>
              </w:rPr>
              <w:t>Meaning</w:t>
            </w:r>
          </w:p>
        </w:tc>
        <w:tc>
          <w:tcPr>
            <w:tcW w:type="dxa" w:w="3504"/>
            <w:shd w:fill="6B2D25"/>
            <w:vAlign w:val="top"/>
          </w:tcPr>
          <w:p>
            <w:pPr>
              <w:spacing w:after="40"/>
            </w:pPr>
            <w:r/>
            <w:r>
              <w:rPr>
                <w:rFonts w:ascii="Aptos" w:hAnsi="Aptos"/>
                <w:b/>
                <w:color w:val="FFFFFF"/>
                <w:sz w:val="18"/>
              </w:rPr>
              <w:t>Scripture Connection</w:t>
            </w:r>
          </w:p>
        </w:tc>
      </w:tr>
      <w:tr>
        <w:tc>
          <w:tcPr>
            <w:tcW w:type="dxa" w:w="3504"/>
            <w:vAlign w:val="top"/>
          </w:tcPr>
          <w:p>
            <w:pPr>
              <w:spacing w:after="40"/>
            </w:pPr>
            <w:r/>
            <w:r>
              <w:rPr>
                <w:rFonts w:ascii="Aptos" w:hAnsi="Aptos"/>
                <w:b w:val="0"/>
                <w:color w:val="1F1F1F"/>
                <w:sz w:val="18"/>
              </w:rPr>
              <w:t>Wonder</w:t>
            </w:r>
          </w:p>
        </w:tc>
        <w:tc>
          <w:tcPr>
            <w:tcW w:type="dxa" w:w="3504"/>
            <w:vAlign w:val="top"/>
          </w:tcPr>
          <w:p>
            <w:pPr>
              <w:spacing w:after="40"/>
            </w:pPr>
            <w:r/>
            <w:r>
              <w:rPr>
                <w:rFonts w:ascii="Aptos" w:hAnsi="Aptos"/>
                <w:b w:val="0"/>
                <w:color w:val="1F1F1F"/>
                <w:sz w:val="18"/>
              </w:rPr>
              <w:t>The hymn begins with astonishment that the Savior would suffer for sinners.</w:t>
            </w:r>
          </w:p>
        </w:tc>
        <w:tc>
          <w:tcPr>
            <w:tcW w:type="dxa" w:w="3504"/>
            <w:vAlign w:val="top"/>
          </w:tcPr>
          <w:p>
            <w:pPr>
              <w:spacing w:after="40"/>
            </w:pPr>
            <w:r/>
            <w:r>
              <w:rPr>
                <w:rFonts w:ascii="Aptos" w:hAnsi="Aptos"/>
                <w:b w:val="0"/>
                <w:color w:val="1F1F1F"/>
                <w:sz w:val="18"/>
              </w:rPr>
              <w:t>Galatians 2:20</w:t>
            </w:r>
          </w:p>
        </w:tc>
      </w:tr>
      <w:tr>
        <w:tc>
          <w:tcPr>
            <w:tcW w:type="dxa" w:w="3504"/>
            <w:vAlign w:val="top"/>
          </w:tcPr>
          <w:p>
            <w:pPr>
              <w:spacing w:after="40"/>
            </w:pPr>
            <w:r/>
            <w:r>
              <w:rPr>
                <w:rFonts w:ascii="Aptos" w:hAnsi="Aptos"/>
                <w:b w:val="0"/>
                <w:color w:val="1F1F1F"/>
                <w:sz w:val="18"/>
              </w:rPr>
              <w:t>Creation and the Cross</w:t>
            </w:r>
          </w:p>
        </w:tc>
        <w:tc>
          <w:tcPr>
            <w:tcW w:type="dxa" w:w="3504"/>
            <w:vAlign w:val="top"/>
          </w:tcPr>
          <w:p>
            <w:pPr>
              <w:spacing w:after="40"/>
            </w:pPr>
            <w:r/>
            <w:r>
              <w:rPr>
                <w:rFonts w:ascii="Aptos" w:hAnsi="Aptos"/>
                <w:b w:val="0"/>
                <w:color w:val="1F1F1F"/>
                <w:sz w:val="18"/>
              </w:rPr>
              <w:t>Creation imagery underlines the weight and glory of Calvary.</w:t>
            </w:r>
          </w:p>
        </w:tc>
        <w:tc>
          <w:tcPr>
            <w:tcW w:type="dxa" w:w="3504"/>
            <w:vAlign w:val="top"/>
          </w:tcPr>
          <w:p>
            <w:pPr>
              <w:spacing w:after="40"/>
            </w:pPr>
            <w:r/>
            <w:r>
              <w:rPr>
                <w:rFonts w:ascii="Aptos" w:hAnsi="Aptos"/>
                <w:b w:val="0"/>
                <w:color w:val="1F1F1F"/>
                <w:sz w:val="18"/>
              </w:rPr>
              <w:t>Isaiah 53:4-5</w:t>
            </w:r>
          </w:p>
        </w:tc>
      </w:tr>
      <w:tr>
        <w:tc>
          <w:tcPr>
            <w:tcW w:type="dxa" w:w="3504"/>
            <w:vAlign w:val="top"/>
          </w:tcPr>
          <w:p>
            <w:pPr>
              <w:spacing w:after="40"/>
            </w:pPr>
            <w:r/>
            <w:r>
              <w:rPr>
                <w:rFonts w:ascii="Aptos" w:hAnsi="Aptos"/>
                <w:b w:val="0"/>
                <w:color w:val="1F1F1F"/>
                <w:sz w:val="18"/>
              </w:rPr>
              <w:t>Conviction</w:t>
            </w:r>
          </w:p>
        </w:tc>
        <w:tc>
          <w:tcPr>
            <w:tcW w:type="dxa" w:w="3504"/>
            <w:vAlign w:val="top"/>
          </w:tcPr>
          <w:p>
            <w:pPr>
              <w:spacing w:after="40"/>
            </w:pPr>
            <w:r/>
            <w:r>
              <w:rPr>
                <w:rFonts w:ascii="Aptos" w:hAnsi="Aptos"/>
                <w:b w:val="0"/>
                <w:color w:val="1F1F1F"/>
                <w:sz w:val="18"/>
              </w:rPr>
              <w:t>The singer recognizes personal need and the seriousness of sin.</w:t>
            </w:r>
          </w:p>
        </w:tc>
        <w:tc>
          <w:tcPr>
            <w:tcW w:type="dxa" w:w="3504"/>
            <w:vAlign w:val="top"/>
          </w:tcPr>
          <w:p>
            <w:pPr>
              <w:spacing w:after="40"/>
            </w:pPr>
            <w:r/>
            <w:r>
              <w:rPr>
                <w:rFonts w:ascii="Aptos" w:hAnsi="Aptos"/>
                <w:b w:val="0"/>
                <w:color w:val="1F1F1F"/>
                <w:sz w:val="18"/>
              </w:rPr>
              <w:t>Romans 5:8</w:t>
            </w:r>
          </w:p>
        </w:tc>
      </w:tr>
      <w:tr>
        <w:tc>
          <w:tcPr>
            <w:tcW w:type="dxa" w:w="3504"/>
            <w:vAlign w:val="top"/>
          </w:tcPr>
          <w:p>
            <w:pPr>
              <w:spacing w:after="40"/>
            </w:pPr>
            <w:r/>
            <w:r>
              <w:rPr>
                <w:rFonts w:ascii="Aptos" w:hAnsi="Aptos"/>
                <w:b w:val="0"/>
                <w:color w:val="1F1F1F"/>
                <w:sz w:val="18"/>
              </w:rPr>
              <w:t>Gratitude</w:t>
            </w:r>
          </w:p>
        </w:tc>
        <w:tc>
          <w:tcPr>
            <w:tcW w:type="dxa" w:w="3504"/>
            <w:vAlign w:val="top"/>
          </w:tcPr>
          <w:p>
            <w:pPr>
              <w:spacing w:after="40"/>
            </w:pPr>
            <w:r/>
            <w:r>
              <w:rPr>
                <w:rFonts w:ascii="Aptos" w:hAnsi="Aptos"/>
                <w:b w:val="0"/>
                <w:color w:val="1F1F1F"/>
                <w:sz w:val="18"/>
              </w:rPr>
              <w:t>The response is not payment but thankful surrender.</w:t>
            </w:r>
          </w:p>
        </w:tc>
        <w:tc>
          <w:tcPr>
            <w:tcW w:type="dxa" w:w="3504"/>
            <w:vAlign w:val="top"/>
          </w:tcPr>
          <w:p>
            <w:pPr>
              <w:spacing w:after="40"/>
            </w:pPr>
            <w:r/>
            <w:r>
              <w:rPr>
                <w:rFonts w:ascii="Aptos" w:hAnsi="Aptos"/>
                <w:b w:val="0"/>
                <w:color w:val="1F1F1F"/>
                <w:sz w:val="18"/>
              </w:rPr>
              <w:t>1 Peter 2:24</w:t>
            </w:r>
          </w:p>
        </w:tc>
      </w:tr>
      <w:tr>
        <w:tc>
          <w:tcPr>
            <w:tcW w:type="dxa" w:w="3504"/>
            <w:vAlign w:val="top"/>
          </w:tcPr>
          <w:p>
            <w:pPr>
              <w:spacing w:after="40"/>
            </w:pPr>
            <w:r/>
            <w:r>
              <w:rPr>
                <w:rFonts w:ascii="Aptos" w:hAnsi="Aptos"/>
                <w:b w:val="0"/>
                <w:color w:val="1F1F1F"/>
                <w:sz w:val="18"/>
              </w:rPr>
              <w:t>Assurance</w:t>
            </w:r>
          </w:p>
        </w:tc>
        <w:tc>
          <w:tcPr>
            <w:tcW w:type="dxa" w:w="3504"/>
            <w:vAlign w:val="top"/>
          </w:tcPr>
          <w:p>
            <w:pPr>
              <w:spacing w:after="40"/>
            </w:pPr>
            <w:r/>
            <w:r>
              <w:rPr>
                <w:rFonts w:ascii="Aptos" w:hAnsi="Aptos"/>
                <w:b w:val="0"/>
                <w:color w:val="1F1F1F"/>
                <w:sz w:val="18"/>
              </w:rPr>
              <w:t>The refrain turns meditation into testimony: grace is personally received.</w:t>
            </w:r>
          </w:p>
        </w:tc>
        <w:tc>
          <w:tcPr>
            <w:tcW w:type="dxa" w:w="3504"/>
            <w:vAlign w:val="top"/>
          </w:tcPr>
          <w:p>
            <w:pPr>
              <w:spacing w:after="40"/>
            </w:pPr>
            <w:r/>
            <w:r>
              <w:rPr>
                <w:rFonts w:ascii="Aptos" w:hAnsi="Aptos"/>
                <w:b w:val="0"/>
                <w:color w:val="1F1F1F"/>
                <w:sz w:val="18"/>
              </w:rPr>
              <w:t>Colossians 2:13-14</w:t>
            </w:r>
          </w:p>
        </w:tc>
      </w:tr>
    </w:tbl>
    <w:p>
      <w:pPr>
        <w:pStyle w:val="Heading1"/>
      </w:pPr>
      <w:r>
        <w:t>Discussion Questions</w:t>
      </w:r>
    </w:p>
    <w:p>
      <w:pPr>
        <w:pStyle w:val="ListBullet"/>
        <w:spacing w:after="60"/>
        <w:ind w:left="317"/>
      </w:pPr>
      <w:r>
        <w:rPr>
          <w:rFonts w:ascii="Aptos" w:hAnsi="Aptos"/>
          <w:sz w:val="20"/>
        </w:rPr>
        <w:t>What does the opening question teach us about wonder?</w:t>
      </w:r>
    </w:p>
    <w:p>
      <w:pPr>
        <w:pStyle w:val="ListBullet"/>
        <w:spacing w:after="60"/>
        <w:ind w:left="317"/>
      </w:pPr>
      <w:r>
        <w:rPr>
          <w:rFonts w:ascii="Aptos" w:hAnsi="Aptos"/>
          <w:sz w:val="20"/>
        </w:rPr>
        <w:t>How does Isaiah 53 deepen the meaning of Christ’s suffering?</w:t>
      </w:r>
    </w:p>
    <w:p>
      <w:pPr>
        <w:pStyle w:val="ListBullet"/>
        <w:spacing w:after="60"/>
        <w:ind w:left="317"/>
      </w:pPr>
      <w:r>
        <w:rPr>
          <w:rFonts w:ascii="Aptos" w:hAnsi="Aptos"/>
          <w:sz w:val="20"/>
        </w:rPr>
        <w:t>Why must sorrow over sin be joined to trust in grace?</w:t>
      </w:r>
    </w:p>
    <w:p>
      <w:pPr>
        <w:pStyle w:val="ListBullet"/>
        <w:spacing w:after="60"/>
        <w:ind w:left="317"/>
      </w:pPr>
      <w:r>
        <w:rPr>
          <w:rFonts w:ascii="Aptos" w:hAnsi="Aptos"/>
          <w:sz w:val="20"/>
        </w:rPr>
        <w:t>How does the refrain help the congregation sing assurance together?</w:t>
      </w:r>
    </w:p>
    <w:p>
      <w:pPr>
        <w:pStyle w:val="ListBullet"/>
        <w:spacing w:after="60"/>
        <w:ind w:left="317"/>
      </w:pPr>
      <w:r>
        <w:rPr>
          <w:rFonts w:ascii="Aptos" w:hAnsi="Aptos"/>
          <w:sz w:val="20"/>
        </w:rPr>
        <w:t>What is the difference between religious emotion and true repentance?</w:t>
      </w:r>
    </w:p>
    <w:p>
      <w:pPr>
        <w:pStyle w:val="ListBullet"/>
        <w:spacing w:after="60"/>
        <w:ind w:left="317"/>
      </w:pPr>
      <w:r>
        <w:rPr>
          <w:rFonts w:ascii="Aptos" w:hAnsi="Aptos"/>
          <w:sz w:val="20"/>
        </w:rPr>
        <w:t>Where do you most need to believe that Christ’s work is enough?</w:t>
      </w:r>
    </w:p>
    <w:p>
      <w:pPr>
        <w:pStyle w:val="ListBullet"/>
        <w:spacing w:after="60"/>
        <w:ind w:left="317"/>
      </w:pPr>
      <w:r>
        <w:rPr>
          <w:rFonts w:ascii="Aptos" w:hAnsi="Aptos"/>
          <w:sz w:val="20"/>
        </w:rPr>
        <w:t>How can our group practice gratitude that becomes obedience?</w:t>
      </w:r>
    </w:p>
    <w:p>
      <w:pPr>
        <w:pStyle w:val="Heading1"/>
      </w:pPr>
      <w:r>
        <w:t>Practice This Week</w:t>
      </w:r>
    </w:p>
    <w:p>
      <w:pPr>
        <w:pStyle w:val="ListBullet"/>
        <w:spacing w:after="60"/>
        <w:ind w:left="317"/>
      </w:pPr>
      <w:r>
        <w:rPr>
          <w:rFonts w:ascii="Aptos" w:hAnsi="Aptos"/>
          <w:sz w:val="20"/>
        </w:rPr>
        <w:t>Read Galatians 2:20 slowly each day and pray it personally.</w:t>
      </w:r>
    </w:p>
    <w:p>
      <w:pPr>
        <w:pStyle w:val="ListBullet"/>
        <w:spacing w:after="60"/>
        <w:ind w:left="317"/>
      </w:pPr>
      <w:r>
        <w:rPr>
          <w:rFonts w:ascii="Aptos" w:hAnsi="Aptos"/>
          <w:sz w:val="20"/>
        </w:rPr>
        <w:t>Confess one area where you have minimized sin or resisted grace.</w:t>
      </w:r>
    </w:p>
    <w:p>
      <w:pPr>
        <w:pStyle w:val="ListBullet"/>
        <w:spacing w:after="60"/>
        <w:ind w:left="317"/>
      </w:pPr>
      <w:r>
        <w:rPr>
          <w:rFonts w:ascii="Aptos" w:hAnsi="Aptos"/>
          <w:sz w:val="20"/>
        </w:rPr>
        <w:t>Encourage one person with the promise that forgiveness rests on Christ’s finished work.</w:t>
      </w:r>
    </w:p>
    <w:p>
      <w:pPr>
        <w:pStyle w:val="ListBullet"/>
        <w:spacing w:after="60"/>
        <w:ind w:left="317"/>
      </w:pPr>
      <w:r>
        <w:rPr>
          <w:rFonts w:ascii="Aptos" w:hAnsi="Aptos"/>
          <w:sz w:val="20"/>
        </w:rPr>
        <w:t>Sing or read the hymn as a prayer of gratitude and surrender.</w:t>
      </w:r>
    </w:p>
    <w:p>
      <w:pPr>
        <w:pStyle w:val="Heading1"/>
      </w:pPr>
      <w:r>
        <w:t>Leader Notes</w:t>
      </w:r>
    </w:p>
    <w:p>
      <w:pPr>
        <w:spacing w:after="80"/>
      </w:pPr>
      <w:r>
        <w:rPr>
          <w:rFonts w:ascii="Aptos" w:hAnsi="Aptos"/>
          <w:b w:val="0"/>
          <w:sz w:val="21"/>
        </w:rPr>
        <w:t>Keep the discussion centered on Christ rather than on self-condemnation. The hymn should produce honest repentance, but also hope. When participants speak of guilt, gently point them to the cross as the place where sin is judged and mercy is given.</w:t>
      </w:r>
    </w:p>
    <w:p>
      <w:pPr>
        <w:pStyle w:val="Heading1"/>
      </w:pPr>
      <w:r>
        <w:t>Closing Prayer</w:t>
      </w:r>
    </w:p>
    <w:p>
      <w:pPr>
        <w:spacing w:after="80"/>
      </w:pPr>
      <w:r>
        <w:rPr>
          <w:rFonts w:ascii="Aptos" w:hAnsi="Aptos"/>
          <w:b w:val="0"/>
          <w:sz w:val="21"/>
        </w:rPr>
        <w:t>Lord Jesus, bring us to your cross with honest hearts. Teach us to grieve sin without hiding from grace, to trust your finished work, and to live in grateful surrender. Amen.</w:t>
      </w:r>
    </w:p>
    <w:p>
      <w:pPr>
        <w:spacing w:after="80"/>
      </w:pPr>
      <w:r>
        <w:rPr>
          <w:rFonts w:ascii="Aptos" w:hAnsi="Aptos"/>
          <w:b w:val="0"/>
          <w:sz w:val="21"/>
        </w:rPr>
        <w:t>© HymnInfo.com. Free for personal, church, classroom, and small-group teaching use. Please do not sell, repost, or redistribute as downloadable files without permission.</w:t>
      </w:r>
    </w:p>
    <w:sectPr w:rsidR="00FC693F" w:rsidRPr="0006063C" w:rsidSect="00034616">
      <w:footerReference w:type="default" r:id="rId9"/>
      <w:pgSz w:w="12240" w:h="15840"/>
      <w:pgMar w:top="792" w:right="864" w:bottom="792"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ptos" w:hAnsi="Aptos"/>
        <w:sz w:val="16"/>
      </w:rPr>
      <w:t>Prepared for teaching and small group use - hymninfo.com</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ptos" w:hAnsi="Aptos" w:eastAsia="Aptos"/>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eastAsia="Georgia"/>
      <w:b/>
      <w:bCs/>
      <w:color w:val="6B2D25"/>
      <w:sz w:val="3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ptos" w:hAnsi="Aptos" w:eastAsia="Aptos"/>
      <w:b/>
      <w:bCs/>
      <w:color w:val="8A4B36"/>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Georgia" w:hAnsi="Georgia" w:eastAsia="Georgia"/>
      <w:b/>
      <w:color w:val="6B2D25"/>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 the Cross Small Group Handout</dc:title>
  <dc:subject>Hymn study resource</dc:subject>
  <dc:creator>HymnInfo.com</dc:creator>
  <cp:keywords>hymn study, Christian worship, church teaching, HymnInfo</cp:keywords>
  <dc:description>generated by python-docx</dc:description>
  <cp:lastModifiedBy/>
  <cp:revision>1</cp:revision>
  <dcterms:created xsi:type="dcterms:W3CDTF">2013-12-23T23:15:00Z</dcterms:created>
  <dcterms:modified xsi:type="dcterms:W3CDTF">2013-12-23T23:15:00Z</dcterms:modified>
  <cp:category/>
</cp:coreProperties>
</file>