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Made Beautiful by Grace</w:t>
      </w:r>
    </w:p>
    <w:p>
      <w:pPr>
        <w:jc w:val="center"/>
      </w:pPr>
      <w:r>
        <w:rPr>
          <w:rFonts w:ascii="Aptos" w:hAnsi="Aptos"/>
          <w:b/>
          <w:color w:val="56304C"/>
          <w:sz w:val="21"/>
        </w:rPr>
        <w:t>A sermon outline inspired by Something Beautiful</w:t>
      </w:r>
    </w:p>
    <w:p>
      <w:pPr>
        <w:pStyle w:val="Heading1"/>
      </w:pPr>
      <w:r>
        <w:t>Main Text and Supporting Scriptures</w:t>
      </w:r>
    </w:p>
    <w:p>
      <w:r>
        <w:rPr>
          <w:b/>
        </w:rPr>
        <w:t xml:space="preserve">Main text: </w:t>
      </w:r>
      <w:r>
        <w:t>2 Corinthians 5:17</w:t>
      </w:r>
    </w:p>
    <w:p>
      <w:r>
        <w:rPr>
          <w:b/>
        </w:rPr>
        <w:t xml:space="preserve">Supporting Scriptures: </w:t>
      </w:r>
      <w:r>
        <w:t>Isaiah 61:3; Ephesians 2:8–10; Ecclesiastes 3:11</w:t>
      </w:r>
    </w:p>
    <w:p>
      <w:pPr>
        <w:pStyle w:val="Heading1"/>
      </w:pPr>
      <w:r>
        <w:t>Big Idea</w:t>
      </w:r>
    </w:p>
    <w:p>
      <w:r>
        <w:t>In Christ, God receives what is broken and makes a restored life that displays His grace.</w:t>
      </w:r>
    </w:p>
    <w:p>
      <w:pPr>
        <w:pStyle w:val="Heading1"/>
      </w:pPr>
      <w:r>
        <w:t>Introduction</w:t>
      </w:r>
    </w:p>
    <w:p>
      <w:r>
        <w:t>Many people know how to polish a public image while privately carrying shame, confusion, and regret. The gospel offers something better than polishing. It offers grace that tells the truth, forgives sin, restores the broken, and makes a person new in Christ. This short gospel chorus gives the church simple testimony language for that work of God.</w:t>
      </w:r>
    </w:p>
    <w:p>
      <w:pPr>
        <w:pStyle w:val="Heading1"/>
      </w:pPr>
      <w:r>
        <w:t>1. Grace meets us where we truly are</w:t>
      </w:r>
    </w:p>
    <w:p>
      <w:r>
        <w:rPr>
          <w:b/>
        </w:rPr>
        <w:t xml:space="preserve">Biblical support: </w:t>
      </w:r>
      <w:r>
        <w:t>Ephesians 2:8–9</w:t>
      </w:r>
    </w:p>
    <w:p>
      <w:r>
        <w:rPr>
          <w:b/>
        </w:rPr>
        <w:t xml:space="preserve">Explanation: </w:t>
      </w:r>
      <w:r>
        <w:t>The gospel begins with grace, not with our performance. We bring need; God gives mercy. A person does not need to disguise guilt or confusion before coming to Christ.</w:t>
      </w:r>
    </w:p>
    <w:p>
      <w:r>
        <w:rPr>
          <w:b/>
        </w:rPr>
        <w:t xml:space="preserve">Hymn connection: </w:t>
      </w:r>
      <w:r>
        <w:t>The song’s starting point is not success but honest need before God.</w:t>
      </w:r>
    </w:p>
    <w:p>
      <w:r>
        <w:rPr>
          <w:b/>
        </w:rPr>
        <w:t xml:space="preserve">Illustration idea: </w:t>
      </w:r>
      <w:r>
        <w:t>A repair shop that can only help clean machines is useless to the broken one. Grace is for the broken.</w:t>
      </w:r>
    </w:p>
    <w:p>
      <w:r>
        <w:rPr>
          <w:b/>
        </w:rPr>
        <w:t xml:space="preserve">Application: </w:t>
      </w:r>
      <w:r>
        <w:t>Call hearers to stop hiding from God and come honestly to Christ.</w:t>
      </w:r>
    </w:p>
    <w:p>
      <w:pPr>
        <w:pStyle w:val="Heading1"/>
      </w:pPr>
      <w:r>
        <w:t>2. In Christ, God makes a new creation</w:t>
      </w:r>
    </w:p>
    <w:p>
      <w:r>
        <w:rPr>
          <w:b/>
        </w:rPr>
        <w:t xml:space="preserve">Biblical support: </w:t>
      </w:r>
      <w:r>
        <w:t>2 Corinthians 5:17</w:t>
      </w:r>
    </w:p>
    <w:p>
      <w:r>
        <w:rPr>
          <w:b/>
        </w:rPr>
        <w:t xml:space="preserve">Explanation: </w:t>
      </w:r>
      <w:r>
        <w:t>The promise of new creation is stronger than moral improvement. In Christ, the old order loses its final claim, and a new life begins under His lordship.</w:t>
      </w:r>
    </w:p>
    <w:p>
      <w:r>
        <w:rPr>
          <w:b/>
        </w:rPr>
        <w:t xml:space="preserve">Hymn connection: </w:t>
      </w:r>
      <w:r>
        <w:t>The chorus moves from inadequacy toward God’s creative work in a renewed life.</w:t>
      </w:r>
    </w:p>
    <w:p>
      <w:r>
        <w:rPr>
          <w:b/>
        </w:rPr>
        <w:t xml:space="preserve">Illustration idea: </w:t>
      </w:r>
      <w:r>
        <w:t>A ruined field can become a garden when the right hands cultivate it.</w:t>
      </w:r>
    </w:p>
    <w:p>
      <w:r>
        <w:rPr>
          <w:b/>
        </w:rPr>
        <w:t xml:space="preserve">Application: </w:t>
      </w:r>
      <w:r>
        <w:t>Invite believers to trust that their past does not have the final word.</w:t>
      </w:r>
    </w:p>
    <w:p>
      <w:pPr>
        <w:pStyle w:val="Heading1"/>
      </w:pPr>
      <w:r>
        <w:t>3. God gives beauty in place of ashes</w:t>
      </w:r>
    </w:p>
    <w:p>
      <w:r>
        <w:rPr>
          <w:b/>
        </w:rPr>
        <w:t xml:space="preserve">Biblical support: </w:t>
      </w:r>
      <w:r>
        <w:t>Isaiah 61:3; Ecclesiastes 3:11</w:t>
      </w:r>
    </w:p>
    <w:p>
      <w:r>
        <w:rPr>
          <w:b/>
        </w:rPr>
        <w:t xml:space="preserve">Explanation: </w:t>
      </w:r>
      <w:r>
        <w:t>The Lord is able to make beauty where people see only loss. This beauty may unfold through time, repentance, healing, and patient grace.</w:t>
      </w:r>
    </w:p>
    <w:p>
      <w:r>
        <w:rPr>
          <w:b/>
        </w:rPr>
        <w:t xml:space="preserve">Hymn connection: </w:t>
      </w:r>
      <w:r>
        <w:t>The song’s language of beauty is not shallow optimism; it is a confession of God’s restoring power.</w:t>
      </w:r>
    </w:p>
    <w:p>
      <w:r>
        <w:rPr>
          <w:b/>
        </w:rPr>
        <w:t xml:space="preserve">Illustration idea: </w:t>
      </w:r>
      <w:r>
        <w:t>A stained-glass window is made from fragments, yet light turns the pieces into witness.</w:t>
      </w:r>
    </w:p>
    <w:p>
      <w:r>
        <w:rPr>
          <w:b/>
        </w:rPr>
        <w:t xml:space="preserve">Application: </w:t>
      </w:r>
      <w:r>
        <w:t>Speak gently to the grieving, ashamed, and weary: God is not finished working.</w:t>
      </w:r>
    </w:p>
    <w:p>
      <w:pPr>
        <w:pStyle w:val="Heading1"/>
      </w:pPr>
      <w:r>
        <w:t>4. Restored people become witnesses of mercy</w:t>
      </w:r>
    </w:p>
    <w:p>
      <w:r>
        <w:rPr>
          <w:b/>
        </w:rPr>
        <w:t xml:space="preserve">Biblical support: </w:t>
      </w:r>
      <w:r>
        <w:t>Ephesians 2:10</w:t>
      </w:r>
    </w:p>
    <w:p>
      <w:r>
        <w:rPr>
          <w:b/>
        </w:rPr>
        <w:t xml:space="preserve">Explanation: </w:t>
      </w:r>
      <w:r>
        <w:t>Grace does not end with private relief. God remakes His people for prepared works, neighborly love, and testimony that points back to Him.</w:t>
      </w:r>
    </w:p>
    <w:p>
      <w:r>
        <w:rPr>
          <w:b/>
        </w:rPr>
        <w:t xml:space="preserve">Hymn connection: </w:t>
      </w:r>
      <w:r>
        <w:t>The song is testimony-shaped: the restored life becomes evidence of the God who restores.</w:t>
      </w:r>
    </w:p>
    <w:p>
      <w:r>
        <w:rPr>
          <w:b/>
        </w:rPr>
        <w:t xml:space="preserve">Illustration idea: </w:t>
      </w:r>
      <w:r>
        <w:t>A rescued person does not boast in the ambulance; he thanks the rescuer.</w:t>
      </w:r>
    </w:p>
    <w:p>
      <w:r>
        <w:rPr>
          <w:b/>
        </w:rPr>
        <w:t xml:space="preserve">Application: </w:t>
      </w:r>
      <w:r>
        <w:t>Ask the congregation to live this week as God’s workmanship in one concrete act of mercy.</w:t>
      </w:r>
    </w:p>
    <w:p>
      <w:pPr>
        <w:pStyle w:val="Heading1"/>
      </w:pPr>
      <w:r>
        <w:t>Christ-Centered Connection</w:t>
      </w:r>
    </w:p>
    <w:p>
      <w:r>
        <w:t>The beauty God makes in us is grounded in Christ Himself. He entered our shame, bore our sin, rose in victory, and now makes new those who belong to Him. Restoration is not vague optimism; it is the fruit of union with the crucified and risen Lord.</w:t>
      </w:r>
    </w:p>
    <w:p>
      <w:pPr>
        <w:pStyle w:val="Heading1"/>
      </w:pPr>
      <w:r>
        <w:t>Pastoral Applications</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406762"/>
          </w:tcPr>
          <w:p>
            <w:r/>
            <w:r>
              <w:rPr>
                <w:rFonts w:ascii="Aptos" w:hAnsi="Aptos"/>
                <w:b/>
                <w:color w:val="FFFFFF"/>
                <w:sz w:val="18"/>
              </w:rPr>
              <w:t>Hearer</w:t>
            </w:r>
          </w:p>
        </w:tc>
        <w:tc>
          <w:tcPr>
            <w:tcW w:type="dxa" w:w="5184"/>
            <w:vAlign w:val="top"/>
            <w:shd w:fill="406762"/>
          </w:tcPr>
          <w:p>
            <w:r/>
            <w:r>
              <w:rPr>
                <w:rFonts w:ascii="Aptos" w:hAnsi="Aptos"/>
                <w:b/>
                <w:color w:val="FFFFFF"/>
                <w:sz w:val="18"/>
              </w:rPr>
              <w:t>Pastoral Word</w:t>
            </w:r>
          </w:p>
        </w:tc>
      </w:tr>
      <w:tr>
        <w:tc>
          <w:tcPr>
            <w:tcW w:type="dxa" w:w="5184"/>
            <w:vAlign w:val="top"/>
          </w:tcPr>
          <w:p>
            <w:r/>
            <w:r>
              <w:rPr>
                <w:rFonts w:ascii="Aptos" w:hAnsi="Aptos"/>
                <w:b/>
                <w:color w:val="2F202C"/>
                <w:sz w:val="17"/>
              </w:rPr>
              <w:t>For the ashamed</w:t>
            </w:r>
          </w:p>
        </w:tc>
        <w:tc>
          <w:tcPr>
            <w:tcW w:type="dxa" w:w="5184"/>
            <w:vAlign w:val="top"/>
          </w:tcPr>
          <w:p>
            <w:r/>
            <w:r>
              <w:rPr>
                <w:rFonts w:ascii="Aptos" w:hAnsi="Aptos"/>
                <w:b w:val="0"/>
                <w:color w:val="2F202C"/>
                <w:sz w:val="17"/>
              </w:rPr>
              <w:t>Come into the light of grace rather than hiding in silence.</w:t>
            </w:r>
          </w:p>
        </w:tc>
      </w:tr>
      <w:tr>
        <w:tc>
          <w:tcPr>
            <w:tcW w:type="dxa" w:w="5184"/>
            <w:vAlign w:val="top"/>
          </w:tcPr>
          <w:p>
            <w:r/>
            <w:r>
              <w:rPr>
                <w:rFonts w:ascii="Aptos" w:hAnsi="Aptos"/>
                <w:b/>
                <w:color w:val="2F202C"/>
                <w:sz w:val="17"/>
              </w:rPr>
              <w:t>For the weary</w:t>
            </w:r>
          </w:p>
        </w:tc>
        <w:tc>
          <w:tcPr>
            <w:tcW w:type="dxa" w:w="5184"/>
            <w:vAlign w:val="top"/>
          </w:tcPr>
          <w:p>
            <w:r/>
            <w:r>
              <w:rPr>
                <w:rFonts w:ascii="Aptos" w:hAnsi="Aptos"/>
                <w:b w:val="0"/>
                <w:color w:val="2F202C"/>
                <w:sz w:val="17"/>
              </w:rPr>
              <w:t>God’s restoring work may be slow, but it is not absent.</w:t>
            </w:r>
          </w:p>
        </w:tc>
      </w:tr>
      <w:tr>
        <w:tc>
          <w:tcPr>
            <w:tcW w:type="dxa" w:w="5184"/>
            <w:vAlign w:val="top"/>
          </w:tcPr>
          <w:p>
            <w:r/>
            <w:r>
              <w:rPr>
                <w:rFonts w:ascii="Aptos" w:hAnsi="Aptos"/>
                <w:b/>
                <w:color w:val="2F202C"/>
                <w:sz w:val="17"/>
              </w:rPr>
              <w:t>For the joyful</w:t>
            </w:r>
          </w:p>
        </w:tc>
        <w:tc>
          <w:tcPr>
            <w:tcW w:type="dxa" w:w="5184"/>
            <w:vAlign w:val="top"/>
          </w:tcPr>
          <w:p>
            <w:r/>
            <w:r>
              <w:rPr>
                <w:rFonts w:ascii="Aptos" w:hAnsi="Aptos"/>
                <w:b w:val="0"/>
                <w:color w:val="2F202C"/>
                <w:sz w:val="17"/>
              </w:rPr>
              <w:t>Give thanks without boasting; all beauty is grace.</w:t>
            </w:r>
          </w:p>
        </w:tc>
      </w:tr>
      <w:tr>
        <w:tc>
          <w:tcPr>
            <w:tcW w:type="dxa" w:w="5184"/>
            <w:vAlign w:val="top"/>
          </w:tcPr>
          <w:p>
            <w:r/>
            <w:r>
              <w:rPr>
                <w:rFonts w:ascii="Aptos" w:hAnsi="Aptos"/>
                <w:b/>
                <w:color w:val="2F202C"/>
                <w:sz w:val="17"/>
              </w:rPr>
              <w:t>For the serving</w:t>
            </w:r>
          </w:p>
        </w:tc>
        <w:tc>
          <w:tcPr>
            <w:tcW w:type="dxa" w:w="5184"/>
            <w:vAlign w:val="top"/>
          </w:tcPr>
          <w:p>
            <w:r/>
            <w:r>
              <w:rPr>
                <w:rFonts w:ascii="Aptos" w:hAnsi="Aptos"/>
                <w:b w:val="0"/>
                <w:color w:val="2F202C"/>
                <w:sz w:val="17"/>
              </w:rPr>
              <w:t>Do good works as God’s workmanship, not as a way to earn His love.</w:t>
            </w:r>
          </w:p>
        </w:tc>
      </w:tr>
      <w:tr>
        <w:tc>
          <w:tcPr>
            <w:tcW w:type="dxa" w:w="5184"/>
            <w:vAlign w:val="top"/>
          </w:tcPr>
          <w:p>
            <w:r/>
            <w:r>
              <w:rPr>
                <w:rFonts w:ascii="Aptos" w:hAnsi="Aptos"/>
                <w:b/>
                <w:color w:val="2F202C"/>
                <w:sz w:val="17"/>
              </w:rPr>
              <w:t>For the church</w:t>
            </w:r>
          </w:p>
        </w:tc>
        <w:tc>
          <w:tcPr>
            <w:tcW w:type="dxa" w:w="5184"/>
            <w:vAlign w:val="top"/>
          </w:tcPr>
          <w:p>
            <w:r/>
            <w:r>
              <w:rPr>
                <w:rFonts w:ascii="Aptos" w:hAnsi="Aptos"/>
                <w:b w:val="0"/>
                <w:color w:val="2F202C"/>
                <w:sz w:val="17"/>
              </w:rPr>
              <w:t>Be a community where honest confession and patient restoration are possible.</w:t>
            </w:r>
          </w:p>
        </w:tc>
      </w:tr>
    </w:tbl>
    <w:p>
      <w:pPr>
        <w:pStyle w:val="Heading1"/>
      </w:pPr>
      <w:r>
        <w:t>Conclusion and Call to Response</w:t>
      </w:r>
    </w:p>
    <w:p>
      <w:r>
        <w:t>Do not bring God a finished self. Bring Him the truth. In Christ, the broken are not beyond grace, the ashamed are not beyond mercy, and the old life is not beyond the power of new creation. Come to Christ, receive His grace, and live as His workmanship.</w:t>
      </w:r>
    </w:p>
    <w:p>
      <w:pPr>
        <w:pStyle w:val="Heading1"/>
      </w:pPr>
      <w:r>
        <w:t>Suggested Closing Prayer</w:t>
      </w:r>
    </w:p>
    <w:p>
      <w:r>
        <w:t>Merciful Father, through Jesus Christ, make us new. Take what we have tried to hide, heal what sin has damaged, and form in us a life that shows Your grace. Let our testimony lead others to Your mercy. Amen.</w:t>
      </w:r>
    </w:p>
    <w:p>
      <w:pPr>
        <w:jc w:val="center"/>
      </w:pPr>
      <w:r>
        <w:rPr>
          <w:rFonts w:ascii="Aptos" w:hAnsi="Aptos"/>
          <w:color w:val="5A5A5A"/>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406762"/>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06762"/>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40676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2F202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 Beautiful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cp:category>
</cp:coreProperties>
</file>