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D3045"/>
          <w:sz w:val="40"/>
        </w:rPr>
        <w:t>Steal Away to Jesus</w:t>
      </w:r>
    </w:p>
    <w:p>
      <w:pPr>
        <w:jc w:val="center"/>
      </w:pPr>
      <w:r>
        <w:rPr>
          <w:i/>
          <w:sz w:val="21"/>
        </w:rPr>
        <w:t>A small group study on prayer, lament, freedom, and resurrection hope</w:t>
      </w:r>
    </w:p>
    <w:p>
      <w:pPr>
        <w:spacing w:after="80" w:line="250" w:lineRule="auto"/>
      </w:pPr>
      <w:r>
        <w:rPr>
          <w:b/>
        </w:rPr>
        <w:t>Purpose:</w:t>
      </w:r>
      <w:r>
        <w:t xml:space="preserve"> This study helps a group hear an African American spiritual as a prayerful witness to Jesus, shaped by suffering and sustained by resurrection hope.</w:t>
      </w:r>
    </w:p>
    <w:p>
      <w:pPr>
        <w:pStyle w:val="Heading2"/>
        <w:spacing w:after="80" w:line="250" w:lineRule="auto"/>
      </w:pPr>
      <w:r>
        <w:t>Opening Reflection Questions</w:t>
      </w:r>
    </w:p>
    <w:p>
      <w:pPr>
        <w:pStyle w:val="ListBullet"/>
        <w:spacing w:after="40" w:line="240" w:lineRule="auto"/>
      </w:pPr>
      <w:r>
        <w:t>When have you needed a quiet place to pray and gather courage?</w:t>
      </w:r>
    </w:p>
    <w:p>
      <w:pPr>
        <w:pStyle w:val="ListBullet"/>
        <w:spacing w:after="40" w:line="240" w:lineRule="auto"/>
      </w:pPr>
      <w:r>
        <w:t>What songs have helped you face grief, injustice, or uncertainty?</w:t>
      </w:r>
    </w:p>
    <w:p>
      <w:pPr>
        <w:pStyle w:val="ListBullet"/>
        <w:spacing w:after="40" w:line="240" w:lineRule="auto"/>
      </w:pPr>
      <w:r>
        <w:t>How does Christian hope speak when earthly life feels short or fragile?</w:t>
      </w:r>
    </w:p>
    <w:p>
      <w:pPr>
        <w:pStyle w:val="Heading2"/>
        <w:spacing w:after="80" w:line="250" w:lineRule="auto"/>
      </w:pPr>
      <w:r>
        <w:t>Brief Hymn Background</w:t>
      </w:r>
    </w:p>
    <w:p>
      <w:pPr>
        <w:spacing w:after="80" w:line="250" w:lineRule="auto"/>
      </w:pPr>
      <w:r>
        <w:t>“Steal Away to Jesus” is a traditional African American spiritual. Hymnals commonly identify both the text and tune as part of that spiritual tradition. Wallace Willis is often associated with the song in historical accounts, but because spirituals moved through oral and communal singing, the attribution should be handled with care.</w:t>
      </w:r>
    </w:p>
    <w:p>
      <w:pPr>
        <w:spacing w:after="80" w:line="250" w:lineRule="auto"/>
      </w:pPr>
      <w:r>
        <w:t>The song became widely known through the Fisk Jubilee Singers in the 1870s. The tune is usually named STEAL AWAY and is commonly printed as 5.7.8.7 with refrain. Modern arrangements may carry their own permissions even when the traditional spiritual is freely usable.</w:t>
      </w:r>
    </w:p>
    <w:p>
      <w:pPr>
        <w:pStyle w:val="Heading2"/>
        <w:spacing w:after="80" w:line="250" w:lineRule="auto"/>
      </w:pPr>
      <w:r>
        <w:t>Primary Scripture and Supporting Passages</w:t>
      </w:r>
    </w:p>
    <w:p>
      <w:pPr>
        <w:pStyle w:val="ListBullet"/>
        <w:spacing w:after="40" w:line="240" w:lineRule="auto"/>
      </w:pPr>
      <w:r>
        <w:t>1 Corinthians 15:51-52 - the trumpet, resurrection, and transformation.</w:t>
      </w:r>
    </w:p>
    <w:p>
      <w:pPr>
        <w:pStyle w:val="ListBullet"/>
        <w:spacing w:after="40" w:line="240" w:lineRule="auto"/>
      </w:pPr>
      <w:r>
        <w:t>Psalm 29:3-4 - the Lord’s powerful voice in thunder and over the waters.</w:t>
      </w:r>
    </w:p>
    <w:p>
      <w:pPr>
        <w:pStyle w:val="ListBullet"/>
        <w:spacing w:after="40" w:line="240" w:lineRule="auto"/>
      </w:pPr>
      <w:r>
        <w:t>1 Thessalonians 4:16 - the Lord descends and the dead in Christ rise.</w:t>
      </w:r>
    </w:p>
    <w:p>
      <w:pPr>
        <w:pStyle w:val="ListBullet"/>
        <w:spacing w:after="40" w:line="240" w:lineRule="auto"/>
      </w:pPr>
      <w:r>
        <w:t>Hebrews 11:13-16 - pilgrims seeking a better, heavenly country.</w:t>
      </w:r>
    </w:p>
    <w:p>
      <w:pPr>
        <w:pStyle w:val="Heading2"/>
        <w:spacing w:after="80" w:line="250" w:lineRule="auto"/>
      </w:pPr>
      <w:r>
        <w:t>Hymn-Section Study</w:t>
      </w:r>
    </w:p>
    <w:p>
      <w:pPr>
        <w:spacing w:after="80" w:line="250" w:lineRule="auto"/>
      </w:pPr>
      <w:r>
        <w:rPr>
          <w:b/>
        </w:rPr>
        <w:t>Refrain movement:</w:t>
      </w:r>
      <w:r>
        <w:t xml:space="preserve"> The repeated turning toward Jesus can be heard as prayer, longing, and homecoming. It gathers personal devotion, communal pain, and final hope.</w:t>
      </w:r>
    </w:p>
    <w:p>
      <w:pPr>
        <w:spacing w:after="80" w:line="250" w:lineRule="auto"/>
      </w:pPr>
      <w:r>
        <w:rPr>
          <w:b/>
        </w:rPr>
        <w:t>The Lord’s call:</w:t>
      </w:r>
      <w:r>
        <w:t xml:space="preserve"> Thunder and lightning become signs of divine summons. The singer hears God calling in a way that is both sobering and personal.</w:t>
      </w:r>
    </w:p>
    <w:p>
      <w:pPr>
        <w:spacing w:after="80" w:line="250" w:lineRule="auto"/>
      </w:pPr>
      <w:r>
        <w:rPr>
          <w:b/>
        </w:rPr>
        <w:t>The trumpet:</w:t>
      </w:r>
      <w:r>
        <w:t xml:space="preserve"> The trumpet connects the song with resurrection and judgment. It reminds believers that earthly time is short and God’s future is sure.</w:t>
      </w:r>
    </w:p>
    <w:p>
      <w:pPr>
        <w:spacing w:after="80" w:line="250" w:lineRule="auto"/>
      </w:pPr>
      <w:r>
        <w:rPr>
          <w:b/>
        </w:rPr>
        <w:t>Freedom and hope:</w:t>
      </w:r>
      <w:r>
        <w:t xml:space="preserve"> The spiritual may carry layered meanings: prayerful withdrawal, longing for liberation, and hope for final home with Christ.</w:t>
      </w:r>
    </w:p>
    <w:p>
      <w:pPr>
        <w:pStyle w:val="Heading2"/>
        <w:spacing w:after="80" w:line="250" w:lineRule="auto"/>
      </w:pPr>
      <w:r>
        <w:t>Study Table</w:t>
      </w:r>
    </w:p>
    <w:tbl>
      <w:tblPr>
        <w:tblStyle w:val="TableGrid"/>
        <w:tblW w:type="auto" w:w="0"/>
        <w:jc w:val="center"/>
        <w:tblLook w:firstColumn="1" w:firstRow="1" w:lastColumn="0" w:lastRow="0" w:noHBand="0" w:noVBand="1" w:val="04A0"/>
      </w:tblPr>
      <w:tblGrid>
        <w:gridCol w:w="3552"/>
        <w:gridCol w:w="3552"/>
        <w:gridCol w:w="3552"/>
      </w:tblGrid>
      <w:tr>
        <w:tc>
          <w:tcPr>
            <w:tcW w:type="dxa" w:w="3552"/>
            <w:shd w:fill="1D3045"/>
          </w:tcPr>
          <w:p>
            <w:r/>
            <w:r>
              <w:rPr>
                <w:rFonts w:ascii="Aptos" w:hAnsi="Aptos"/>
                <w:b/>
                <w:color w:val="FFFFFF"/>
                <w:sz w:val="19"/>
              </w:rPr>
              <w:t>Hymn Theme</w:t>
            </w:r>
          </w:p>
        </w:tc>
        <w:tc>
          <w:tcPr>
            <w:tcW w:type="dxa" w:w="3552"/>
            <w:shd w:fill="1D3045"/>
          </w:tcPr>
          <w:p>
            <w:r/>
            <w:r>
              <w:rPr>
                <w:rFonts w:ascii="Aptos" w:hAnsi="Aptos"/>
                <w:b/>
                <w:color w:val="FFFFFF"/>
                <w:sz w:val="19"/>
              </w:rPr>
              <w:t>Scripture Connection</w:t>
            </w:r>
          </w:p>
        </w:tc>
        <w:tc>
          <w:tcPr>
            <w:tcW w:type="dxa" w:w="3552"/>
            <w:shd w:fill="1D3045"/>
          </w:tcPr>
          <w:p>
            <w:r/>
            <w:r>
              <w:rPr>
                <w:rFonts w:ascii="Aptos" w:hAnsi="Aptos"/>
                <w:b/>
                <w:color w:val="FFFFFF"/>
                <w:sz w:val="19"/>
              </w:rPr>
              <w:t>Discussion Prompt</w:t>
            </w:r>
          </w:p>
        </w:tc>
      </w:tr>
      <w:tr>
        <w:tc>
          <w:tcPr>
            <w:tcW w:type="dxa" w:w="3552"/>
          </w:tcPr>
          <w:p>
            <w:r/>
            <w:r>
              <w:rPr>
                <w:rFonts w:ascii="Aptos" w:hAnsi="Aptos"/>
                <w:b w:val="0"/>
                <w:sz w:val="19"/>
              </w:rPr>
              <w:t>Divine summons</w:t>
            </w:r>
          </w:p>
        </w:tc>
        <w:tc>
          <w:tcPr>
            <w:tcW w:type="dxa" w:w="3552"/>
          </w:tcPr>
          <w:p>
            <w:r/>
            <w:r>
              <w:rPr>
                <w:rFonts w:ascii="Aptos" w:hAnsi="Aptos"/>
                <w:b w:val="0"/>
                <w:sz w:val="19"/>
              </w:rPr>
              <w:t>Psalm 29:3-4</w:t>
            </w:r>
          </w:p>
        </w:tc>
        <w:tc>
          <w:tcPr>
            <w:tcW w:type="dxa" w:w="3552"/>
          </w:tcPr>
          <w:p>
            <w:r/>
            <w:r>
              <w:rPr>
                <w:rFonts w:ascii="Aptos" w:hAnsi="Aptos"/>
                <w:b w:val="0"/>
                <w:sz w:val="19"/>
              </w:rPr>
              <w:t>Where do people today hear God calling them to attention?</w:t>
            </w:r>
          </w:p>
        </w:tc>
      </w:tr>
      <w:tr>
        <w:tc>
          <w:tcPr>
            <w:tcW w:type="dxa" w:w="3552"/>
          </w:tcPr>
          <w:p>
            <w:r/>
            <w:r>
              <w:rPr>
                <w:rFonts w:ascii="Aptos" w:hAnsi="Aptos"/>
                <w:b w:val="0"/>
                <w:sz w:val="19"/>
              </w:rPr>
              <w:t>Resurrection hope</w:t>
            </w:r>
          </w:p>
        </w:tc>
        <w:tc>
          <w:tcPr>
            <w:tcW w:type="dxa" w:w="3552"/>
          </w:tcPr>
          <w:p>
            <w:r/>
            <w:r>
              <w:rPr>
                <w:rFonts w:ascii="Aptos" w:hAnsi="Aptos"/>
                <w:b w:val="0"/>
                <w:sz w:val="19"/>
              </w:rPr>
              <w:t>1 Corinthians 15:51-52</w:t>
            </w:r>
          </w:p>
        </w:tc>
        <w:tc>
          <w:tcPr>
            <w:tcW w:type="dxa" w:w="3552"/>
          </w:tcPr>
          <w:p>
            <w:r/>
            <w:r>
              <w:rPr>
                <w:rFonts w:ascii="Aptos" w:hAnsi="Aptos"/>
                <w:b w:val="0"/>
                <w:sz w:val="19"/>
              </w:rPr>
              <w:t>How does resurrection change the way we face death?</w:t>
            </w:r>
          </w:p>
        </w:tc>
      </w:tr>
      <w:tr>
        <w:tc>
          <w:tcPr>
            <w:tcW w:type="dxa" w:w="3552"/>
          </w:tcPr>
          <w:p>
            <w:r/>
            <w:r>
              <w:rPr>
                <w:rFonts w:ascii="Aptos" w:hAnsi="Aptos"/>
                <w:b w:val="0"/>
                <w:sz w:val="19"/>
              </w:rPr>
              <w:t>Pilgrimage</w:t>
            </w:r>
          </w:p>
        </w:tc>
        <w:tc>
          <w:tcPr>
            <w:tcW w:type="dxa" w:w="3552"/>
          </w:tcPr>
          <w:p>
            <w:r/>
            <w:r>
              <w:rPr>
                <w:rFonts w:ascii="Aptos" w:hAnsi="Aptos"/>
                <w:b w:val="0"/>
                <w:sz w:val="19"/>
              </w:rPr>
              <w:t>Hebrews 11:13-16</w:t>
            </w:r>
          </w:p>
        </w:tc>
        <w:tc>
          <w:tcPr>
            <w:tcW w:type="dxa" w:w="3552"/>
          </w:tcPr>
          <w:p>
            <w:r/>
            <w:r>
              <w:rPr>
                <w:rFonts w:ascii="Aptos" w:hAnsi="Aptos"/>
                <w:b w:val="0"/>
                <w:sz w:val="19"/>
              </w:rPr>
              <w:t>What does it mean to live as people seeking God’s country?</w:t>
            </w:r>
          </w:p>
        </w:tc>
      </w:tr>
      <w:tr>
        <w:tc>
          <w:tcPr>
            <w:tcW w:type="dxa" w:w="3552"/>
          </w:tcPr>
          <w:p>
            <w:r/>
            <w:r>
              <w:rPr>
                <w:rFonts w:ascii="Aptos" w:hAnsi="Aptos"/>
                <w:b w:val="0"/>
                <w:sz w:val="19"/>
              </w:rPr>
              <w:t>Freedom</w:t>
            </w:r>
          </w:p>
        </w:tc>
        <w:tc>
          <w:tcPr>
            <w:tcW w:type="dxa" w:w="3552"/>
          </w:tcPr>
          <w:p>
            <w:r/>
            <w:r>
              <w:rPr>
                <w:rFonts w:ascii="Aptos" w:hAnsi="Aptos"/>
                <w:b w:val="0"/>
                <w:sz w:val="19"/>
              </w:rPr>
              <w:t>Exodus-shaped biblical hope</w:t>
            </w:r>
          </w:p>
        </w:tc>
        <w:tc>
          <w:tcPr>
            <w:tcW w:type="dxa" w:w="3552"/>
          </w:tcPr>
          <w:p>
            <w:r/>
            <w:r>
              <w:rPr>
                <w:rFonts w:ascii="Aptos" w:hAnsi="Aptos"/>
                <w:b w:val="0"/>
                <w:sz w:val="19"/>
              </w:rPr>
              <w:t>How can hope strengthen people under pressure?</w:t>
            </w:r>
          </w:p>
        </w:tc>
      </w:tr>
    </w:tbl>
    <w:p>
      <w:pPr>
        <w:pStyle w:val="Heading2"/>
        <w:spacing w:after="80" w:line="250" w:lineRule="auto"/>
      </w:pPr>
      <w:r>
        <w:t>Discussion Questions</w:t>
      </w:r>
    </w:p>
    <w:p>
      <w:pPr>
        <w:pStyle w:val="ListBullet"/>
        <w:spacing w:after="40" w:line="240" w:lineRule="auto"/>
      </w:pPr>
      <w:r>
        <w:t>What emotions do you hear in this spiritual?</w:t>
      </w:r>
    </w:p>
    <w:p>
      <w:pPr>
        <w:pStyle w:val="ListBullet"/>
        <w:spacing w:after="40" w:line="240" w:lineRule="auto"/>
      </w:pPr>
      <w:r>
        <w:t>Why is Jesus the destination of the song’s longing?</w:t>
      </w:r>
    </w:p>
    <w:p>
      <w:pPr>
        <w:pStyle w:val="ListBullet"/>
        <w:spacing w:after="40" w:line="240" w:lineRule="auto"/>
      </w:pPr>
      <w:r>
        <w:t>How do thunder and trumpet imagery make the song both serious and hopeful?</w:t>
      </w:r>
    </w:p>
    <w:p>
      <w:pPr>
        <w:pStyle w:val="ListBullet"/>
        <w:spacing w:after="40" w:line="240" w:lineRule="auto"/>
      </w:pPr>
      <w:r>
        <w:t>Why should churches avoid careless claims about hidden code language?</w:t>
      </w:r>
    </w:p>
    <w:p>
      <w:pPr>
        <w:pStyle w:val="ListBullet"/>
        <w:spacing w:after="40" w:line="240" w:lineRule="auto"/>
      </w:pPr>
      <w:r>
        <w:t>What does this spiritual teach about faith formed under oppression?</w:t>
      </w:r>
    </w:p>
    <w:p>
      <w:pPr>
        <w:pStyle w:val="ListBullet"/>
        <w:spacing w:after="40" w:line="240" w:lineRule="auto"/>
      </w:pPr>
      <w:r>
        <w:t>How can a congregation sing spirituals with historical awareness and reverence?</w:t>
      </w:r>
    </w:p>
    <w:p>
      <w:pPr>
        <w:pStyle w:val="ListBullet"/>
        <w:spacing w:after="40" w:line="240" w:lineRule="auto"/>
      </w:pPr>
      <w:r>
        <w:t>Where do you need Christ to call you away from despair and toward hope?</w:t>
      </w:r>
    </w:p>
    <w:p>
      <w:pPr>
        <w:pStyle w:val="Heading2"/>
        <w:spacing w:after="80" w:line="250" w:lineRule="auto"/>
      </w:pPr>
      <w:r>
        <w:t>Practice This Week</w:t>
      </w:r>
    </w:p>
    <w:p>
      <w:pPr>
        <w:pStyle w:val="ListBullet"/>
        <w:spacing w:after="40" w:line="240" w:lineRule="auto"/>
      </w:pPr>
      <w:r>
        <w:t>Spend ten quiet minutes in prayer with 1 Corinthians 15:51-52.</w:t>
      </w:r>
    </w:p>
    <w:p>
      <w:pPr>
        <w:pStyle w:val="ListBullet"/>
        <w:spacing w:after="40" w:line="240" w:lineRule="auto"/>
      </w:pPr>
      <w:r>
        <w:t>Pray for a person or community carrying grief or injustice.</w:t>
      </w:r>
    </w:p>
    <w:p>
      <w:pPr>
        <w:pStyle w:val="ListBullet"/>
        <w:spacing w:after="40" w:line="240" w:lineRule="auto"/>
      </w:pPr>
      <w:r>
        <w:t>Listen to a spiritual with gratitude for the witness of the Black church.</w:t>
      </w:r>
    </w:p>
    <w:p>
      <w:pPr>
        <w:pStyle w:val="ListBullet"/>
        <w:spacing w:after="40" w:line="240" w:lineRule="auto"/>
      </w:pPr>
      <w:r>
        <w:t>Encourage someone with the promise that death and sorrow do not have the final word.</w:t>
      </w:r>
    </w:p>
    <w:p>
      <w:pPr>
        <w:pStyle w:val="Heading2"/>
        <w:spacing w:after="80" w:line="250" w:lineRule="auto"/>
      </w:pPr>
      <w:r>
        <w:t>Optional Leader Notes</w:t>
      </w:r>
    </w:p>
    <w:p>
      <w:pPr>
        <w:spacing w:after="80" w:line="250" w:lineRule="auto"/>
      </w:pPr>
      <w:r>
        <w:t>Keep the discussion rooted in Scripture and history. Avoid treating the song only as performance music. Let the group feel its lament, respect its tradition, and hear its hope in Jesus.</w:t>
      </w:r>
    </w:p>
    <w:p>
      <w:pPr>
        <w:pStyle w:val="Heading2"/>
        <w:spacing w:after="80" w:line="250" w:lineRule="auto"/>
      </w:pPr>
      <w:r>
        <w:t>Closing Prayer</w:t>
      </w:r>
    </w:p>
    <w:p>
      <w:pPr>
        <w:spacing w:after="80" w:line="250" w:lineRule="auto"/>
      </w:pPr>
      <w:r>
        <w:t>Lord Jesus, call us near to you. Give courage to the weary, hope to the grieving, justice to the oppressed, and faith to all who wait for resurrection. Amen.</w:t>
      </w:r>
    </w:p>
    <w:p>
      <w:pPr>
        <w:jc w:val="center"/>
      </w:pPr>
      <w:r>
        <w:rPr>
          <w:color w:val="5A5A5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D304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D304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D3045"/>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Steal Away to Jesus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