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52B14"/>
          <w:sz w:val="44"/>
        </w:rPr>
        <w:t>The God of Abraham Praise</w:t>
      </w:r>
    </w:p>
    <w:p>
      <w:pPr>
        <w:jc w:val="center"/>
      </w:pPr>
      <w:r>
        <w:rPr>
          <w:rFonts w:ascii="Aptos" w:hAnsi="Aptos"/>
          <w:i/>
          <w:color w:val="5F4F3C"/>
          <w:sz w:val="22"/>
        </w:rPr>
        <w:t>Sermon Outline</w:t>
      </w:r>
    </w:p>
    <w:p>
      <w:pPr>
        <w:jc w:val="center"/>
      </w:pPr>
      <w:r>
        <w:rPr>
          <w:color w:val="746858"/>
          <w:sz w:val="18"/>
        </w:rPr>
        <w:t>A HymnInfo teaching resource</w:t>
      </w:r>
    </w:p>
    <w:p>
      <w:pPr>
        <w:pStyle w:val="Heading1"/>
      </w:pPr>
      <w:r>
        <w:t>Sermon Title</w:t>
      </w:r>
    </w:p>
    <w:p>
      <w:r>
        <w:t>The God Who Keeps His Name and His Promise</w:t>
      </w:r>
    </w:p>
    <w:p>
      <w:pPr>
        <w:pStyle w:val="Heading1"/>
      </w:pPr>
      <w:r>
        <w:t>Main Text and Supporting Scriptures</w:t>
      </w:r>
    </w:p>
    <w:p>
      <w:r>
        <w:t>Main text: Exodus 3:6-15</w:t>
      </w:r>
    </w:p>
    <w:p>
      <w:r>
        <w:t>Supporting texts: Genesis 15:1; Genesis 22:16-17; Hebrews 11:8-16; Isaiah 40:31; Revelation 4:8-11</w:t>
      </w:r>
    </w:p>
    <w:p>
      <w:pPr>
        <w:pStyle w:val="Heading1"/>
      </w:pPr>
      <w:r>
        <w:t>Big Idea</w:t>
      </w:r>
    </w:p>
    <w:p>
      <w:r>
        <w:t>The eternal God who revealed himself to Abraham and Moses still calls his people to trust his promise, walk as pilgrims, and join the praise of heaven.</w:t>
      </w:r>
    </w:p>
    <w:p>
      <w:pPr>
        <w:pStyle w:val="Heading1"/>
      </w:pPr>
      <w:r>
        <w:t>Introduction</w:t>
      </w:r>
    </w:p>
    <w:p>
      <w:r>
        <w:t>Christians often feel small before the uncertainties of life: a decision we cannot control, a grief we cannot hurry, a future we cannot see. This hymn begins where Scripture tells us to begin: not with our strength, but with God’s name. Before Abraham could journey and before Moses could speak, God declared who he is. Faith grows when worship begins with the God who keeps his covenant.</w:t>
      </w:r>
    </w:p>
    <w:p>
      <w:pPr>
        <w:pStyle w:val="Heading1"/>
      </w:pPr>
      <w:r>
        <w:t>1. Worship begins with the God who names himself</w:t>
      </w:r>
    </w:p>
    <w:p>
      <w:r>
        <w:rPr>
          <w:b/>
        </w:rPr>
        <w:t xml:space="preserve">Explanation: </w:t>
      </w:r>
      <w:r>
        <w:t>At the burning bush, God does not give Moses a technique; he reveals his name and covenant faithfulness. The hymn opens in the same posture: adoration before the eternal Lord, the Great I AM.</w:t>
      </w:r>
    </w:p>
    <w:p>
      <w:r>
        <w:rPr>
          <w:b/>
        </w:rPr>
        <w:t xml:space="preserve">Hymn Connection: </w:t>
      </w:r>
      <w:r>
        <w:t>The opening line teaches the congregation to praise God as the living God before asking him for anything.</w:t>
      </w:r>
    </w:p>
    <w:p>
      <w:r>
        <w:rPr>
          <w:b/>
        </w:rPr>
        <w:t xml:space="preserve">Biblical Support: </w:t>
      </w:r>
      <w:r>
        <w:t>Exodus 3:6-15; Revelation 4:8-11</w:t>
      </w:r>
    </w:p>
    <w:p>
      <w:r>
        <w:rPr>
          <w:b/>
        </w:rPr>
        <w:t xml:space="preserve">Illustration Idea: </w:t>
      </w:r>
      <w:r>
        <w:t>Use the image of a family name carried across generations. God’s name is not inherited weakness; it is eternal faithfulness.</w:t>
      </w:r>
    </w:p>
    <w:p>
      <w:r>
        <w:rPr>
          <w:b/>
        </w:rPr>
        <w:t xml:space="preserve">Application: </w:t>
      </w:r>
      <w:r>
        <w:t>Call the congregation to begin prayer with God’s character before moving to personal need.</w:t>
      </w:r>
    </w:p>
    <w:p>
      <w:pPr>
        <w:pStyle w:val="Heading1"/>
      </w:pPr>
      <w:r>
        <w:t>2. Faith leaves lesser securities for God’s promise</w:t>
      </w:r>
    </w:p>
    <w:p>
      <w:r>
        <w:rPr>
          <w:b/>
        </w:rPr>
        <w:t xml:space="preserve">Explanation: </w:t>
      </w:r>
      <w:r>
        <w:t>The hymn’s pilgrim language echoes Abraham, who obeyed without seeing the whole map. The Christian life is not aimless wandering; it is a promise-shaped journey.</w:t>
      </w:r>
    </w:p>
    <w:p>
      <w:r>
        <w:rPr>
          <w:b/>
        </w:rPr>
        <w:t xml:space="preserve">Hymn Connection: </w:t>
      </w:r>
      <w:r>
        <w:t>The stanza about rising at God’s command presses worshipers to forsake anything that becomes a rival refuge.</w:t>
      </w:r>
    </w:p>
    <w:p>
      <w:r>
        <w:rPr>
          <w:b/>
        </w:rPr>
        <w:t xml:space="preserve">Biblical Support: </w:t>
      </w:r>
      <w:r>
        <w:t>Hebrews 11:8-16; Genesis 15:1</w:t>
      </w:r>
    </w:p>
    <w:p>
      <w:r>
        <w:rPr>
          <w:b/>
        </w:rPr>
        <w:t xml:space="preserve">Illustration Idea: </w:t>
      </w:r>
      <w:r>
        <w:t>Describe a traveler who packs lightly because the destination matters more than the baggage.</w:t>
      </w:r>
    </w:p>
    <w:p>
      <w:r>
        <w:rPr>
          <w:b/>
        </w:rPr>
        <w:t xml:space="preserve">Application: </w:t>
      </w:r>
      <w:r>
        <w:t>Invite hearers to name the wisdom, fame, power, or approval they are tempted to make their refuge.</w:t>
      </w:r>
    </w:p>
    <w:p>
      <w:pPr>
        <w:pStyle w:val="Heading1"/>
      </w:pPr>
      <w:r>
        <w:t>3. Grace brings the weak near to the majestic God</w:t>
      </w:r>
    </w:p>
    <w:p>
      <w:r>
        <w:rPr>
          <w:b/>
        </w:rPr>
        <w:t xml:space="preserve">Explanation: </w:t>
      </w:r>
      <w:r>
        <w:t>The hymn is full of majesty, yet it also confesses grace. The holy God does not merely command from afar; he befriends and saves the unworthy through Christ.</w:t>
      </w:r>
    </w:p>
    <w:p>
      <w:r>
        <w:rPr>
          <w:b/>
        </w:rPr>
        <w:t xml:space="preserve">Hymn Connection: </w:t>
      </w:r>
      <w:r>
        <w:t>The hymn’s language of friendship and saving grace prevents reverence from becoming distance or fear without hope.</w:t>
      </w:r>
    </w:p>
    <w:p>
      <w:r>
        <w:rPr>
          <w:b/>
        </w:rPr>
        <w:t xml:space="preserve">Biblical Support: </w:t>
      </w:r>
      <w:r>
        <w:t>Genesis 15:1; John 15:13-15; Ephesians 2:8-10</w:t>
      </w:r>
    </w:p>
    <w:p>
      <w:r>
        <w:rPr>
          <w:b/>
        </w:rPr>
        <w:t xml:space="preserve">Illustration Idea: </w:t>
      </w:r>
      <w:r>
        <w:t>Contrast a throne room that keeps people out with a king who brings the helpless near at his own cost.</w:t>
      </w:r>
    </w:p>
    <w:p>
      <w:r>
        <w:rPr>
          <w:b/>
        </w:rPr>
        <w:t xml:space="preserve">Application: </w:t>
      </w:r>
      <w:r>
        <w:t>Speak to the ashamed, weary, and self-reliant: salvation rests on God’s grace, not on spiritual impressiveness.</w:t>
      </w:r>
    </w:p>
    <w:p>
      <w:pPr>
        <w:pStyle w:val="Heading1"/>
      </w:pPr>
      <w:r>
        <w:t>4. God’s oath steadies pilgrims on the way home</w:t>
      </w:r>
    </w:p>
    <w:p>
      <w:r>
        <w:rPr>
          <w:b/>
        </w:rPr>
        <w:t xml:space="preserve">Explanation: </w:t>
      </w:r>
      <w:r>
        <w:t>The hymn leans on God’s sworn promise and looks toward heaven. Feelings rise and fall, but God’s covenant faithfulness does not.</w:t>
      </w:r>
    </w:p>
    <w:p>
      <w:r>
        <w:rPr>
          <w:b/>
        </w:rPr>
        <w:t xml:space="preserve">Hymn Connection: </w:t>
      </w:r>
      <w:r>
        <w:t>The stanza about God’s oath teaches believers to depend on promise rather than on changing feelings.</w:t>
      </w:r>
    </w:p>
    <w:p>
      <w:r>
        <w:rPr>
          <w:b/>
        </w:rPr>
        <w:t xml:space="preserve">Biblical Support: </w:t>
      </w:r>
      <w:r>
        <w:t>Genesis 22:16-17; Hebrews 11:13-16; Isaiah 40:31</w:t>
      </w:r>
    </w:p>
    <w:p>
      <w:r>
        <w:rPr>
          <w:b/>
        </w:rPr>
        <w:t xml:space="preserve">Illustration Idea: </w:t>
      </w:r>
      <w:r>
        <w:t>A rope bridge is crossed by trusting the anchor points, not by admiring one’s balance.</w:t>
      </w:r>
    </w:p>
    <w:p>
      <w:r>
        <w:rPr>
          <w:b/>
        </w:rPr>
        <w:t xml:space="preserve">Application: </w:t>
      </w:r>
      <w:r>
        <w:t>Encourage believers to hold fast to God’s promise when obedience feels costly or the destination seems distant.</w:t>
      </w:r>
    </w:p>
    <w:p>
      <w:pPr>
        <w:pStyle w:val="Heading1"/>
      </w:pPr>
      <w:r>
        <w:t>5. The journey ends in doxology</w:t>
      </w:r>
    </w:p>
    <w:p>
      <w:r>
        <w:rPr>
          <w:b/>
        </w:rPr>
        <w:t xml:space="preserve">Explanation: </w:t>
      </w:r>
      <w:r>
        <w:t>The hymn moves from Abrahamic covenant to heavenly praise. The goal of faith is not merely personal survival but worship: the whole redeemed people giving glory to God.</w:t>
      </w:r>
    </w:p>
    <w:p>
      <w:r>
        <w:rPr>
          <w:b/>
        </w:rPr>
        <w:t xml:space="preserve">Hymn Connection: </w:t>
      </w:r>
      <w:r>
        <w:t>The final stanza lifts the congregation from personal testimony into the praise of the whole heavenly host.</w:t>
      </w:r>
    </w:p>
    <w:p>
      <w:r>
        <w:rPr>
          <w:b/>
        </w:rPr>
        <w:t xml:space="preserve">Biblical Support: </w:t>
      </w:r>
      <w:r>
        <w:t>Revelation 4:8-11; Philippians 2:10-11</w:t>
      </w:r>
    </w:p>
    <w:p>
      <w:r>
        <w:rPr>
          <w:b/>
        </w:rPr>
        <w:t xml:space="preserve">Illustration Idea: </w:t>
      </w:r>
      <w:r>
        <w:t>Imagine hearing a congregation singing in the next room before entering and joining the song. Worship on earth anticipates that greater praise.</w:t>
      </w:r>
    </w:p>
    <w:p>
      <w:r>
        <w:rPr>
          <w:b/>
        </w:rPr>
        <w:t xml:space="preserve">Application: </w:t>
      </w:r>
      <w:r>
        <w:t>Urge the church to sing as people whose future is already secured in God’s eternal kingdom.</w:t>
      </w:r>
    </w:p>
    <w:p>
      <w:pPr>
        <w:pStyle w:val="Heading1"/>
      </w:pPr>
      <w:r>
        <w:t>Christ-Centered Connection</w:t>
      </w:r>
    </w:p>
    <w:p>
      <w:r>
        <w:t>Olivers’s Christian adaptation moves from the God of Abraham to grace through Jesus Christ and finally to Trinitarian praise. The God who made covenant promises fulfills his saving purpose in Christ. Through him, Gentile believers are brought into the blessing promised to Abraham and learn to worship the Father in the power of the Spirit.</w:t>
      </w:r>
    </w:p>
    <w:p>
      <w:pPr>
        <w:pStyle w:val="Heading1"/>
      </w:pPr>
      <w:r>
        <w:t>Pastoral Applications</w:t>
      </w:r>
    </w:p>
    <w:p>
      <w:pPr>
        <w:pStyle w:val="ListBullet"/>
        <w:spacing w:after="40"/>
      </w:pPr>
      <w:r>
        <w:t>For the anxious: God’s name is firmer than the future you cannot control.</w:t>
      </w:r>
    </w:p>
    <w:p>
      <w:pPr>
        <w:pStyle w:val="ListBullet"/>
        <w:spacing w:after="40"/>
      </w:pPr>
      <w:r>
        <w:t>For the weary: the pilgrim road is sustained by divine strength, not private willpower.</w:t>
      </w:r>
    </w:p>
    <w:p>
      <w:pPr>
        <w:pStyle w:val="ListBullet"/>
        <w:spacing w:after="40"/>
      </w:pPr>
      <w:r>
        <w:t>For the ashamed: grace brings the unworthy near through Christ.</w:t>
      </w:r>
    </w:p>
    <w:p>
      <w:pPr>
        <w:pStyle w:val="ListBullet"/>
        <w:spacing w:after="40"/>
      </w:pPr>
      <w:r>
        <w:t>For the successful: wisdom, fame, and power are poor substitutes for God as your portion.</w:t>
      </w:r>
    </w:p>
    <w:p>
      <w:pPr>
        <w:pStyle w:val="ListBullet"/>
        <w:spacing w:after="40"/>
      </w:pPr>
      <w:r>
        <w:t>For the worshiping church: Sunday praise joins the covenant people of God and anticipates heaven.</w:t>
      </w:r>
    </w:p>
    <w:p>
      <w:pPr>
        <w:pStyle w:val="Heading1"/>
      </w:pPr>
      <w:r>
        <w:t>Conclusion and Call to Response</w:t>
      </w:r>
    </w:p>
    <w:p>
      <w:r>
        <w:t>The hymn does not ask us to admire Abraham from a distance. It calls us to praise Abraham’s God, trust his promise, and walk toward the city whose builder and maker is God. Let the church answer with faith: God is our shield, our reward, our portion, and our endless praise.</w:t>
      </w:r>
    </w:p>
    <w:p>
      <w:pPr>
        <w:pStyle w:val="Heading1"/>
      </w:pPr>
      <w:r>
        <w:t>Suggested Closing Prayer</w:t>
      </w:r>
    </w:p>
    <w:p>
      <w:r>
        <w:t>God of Abraham, God of promise, God of grace, teach us to worship your holy name and to walk by faith. Loosen our grip on lesser things. Strengthen the weary, steady the doubtful, humble the proud, and fill your church with the praise of heaven. Through Jesus Christ our Lord. Amen.</w:t>
      </w:r>
    </w:p>
    <w:p>
      <w:pPr>
        <w:spacing w:before="160"/>
        <w:jc w:val="center"/>
      </w:pPr>
      <w:r>
        <w:rPr>
          <w:color w:val="70685E"/>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5D50"/>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71481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364E5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533F3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452B14"/>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