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52B14"/>
          <w:sz w:val="44"/>
        </w:rPr>
        <w:t>The God of Abraham Praise</w:t>
      </w:r>
    </w:p>
    <w:p>
      <w:pPr>
        <w:jc w:val="center"/>
      </w:pPr>
      <w:r>
        <w:rPr>
          <w:rFonts w:ascii="Aptos" w:hAnsi="Aptos"/>
          <w:i/>
          <w:color w:val="5F4F3C"/>
          <w:sz w:val="22"/>
        </w:rPr>
        <w:t>Small Group Handout</w:t>
      </w:r>
    </w:p>
    <w:p>
      <w:pPr>
        <w:jc w:val="center"/>
      </w:pPr>
      <w:r>
        <w:rPr>
          <w:color w:val="746858"/>
          <w:sz w:val="18"/>
        </w:rPr>
        <w:t>A HymnInfo teaching resource</w:t>
      </w:r>
    </w:p>
    <w:p>
      <w:r>
        <w:rPr>
          <w:b/>
        </w:rPr>
        <w:t xml:space="preserve">Purpose: </w:t>
      </w:r>
      <w:r>
        <w:t>Use this study to help a group praise the eternal God of Abraham, understand the hymn’s covenant language, and respond with trust, obedience, and worship.</w:t>
      </w:r>
    </w:p>
    <w:p>
      <w:pPr>
        <w:pStyle w:val="Heading1"/>
      </w:pPr>
      <w:r>
        <w:t>Opening Reflection</w:t>
      </w:r>
    </w:p>
    <w:p>
      <w:pPr>
        <w:pStyle w:val="ListBullet"/>
        <w:spacing w:after="40"/>
      </w:pPr>
      <w:r>
        <w:t>When you hear God called “the God of Abraham,” what promises or Bible stories come to mind?</w:t>
      </w:r>
    </w:p>
    <w:p>
      <w:pPr>
        <w:pStyle w:val="ListBullet"/>
        <w:spacing w:after="40"/>
      </w:pPr>
      <w:r>
        <w:t>What helps you trust God when the road ahead is not clear?</w:t>
      </w:r>
    </w:p>
    <w:p>
      <w:pPr>
        <w:pStyle w:val="ListBullet"/>
        <w:spacing w:after="40"/>
      </w:pPr>
      <w:r>
        <w:t>How does worship change when we remember that we join the praise of believers across generations?</w:t>
      </w:r>
    </w:p>
    <w:p>
      <w:pPr>
        <w:pStyle w:val="Heading1"/>
      </w:pPr>
      <w:r>
        <w:t>Brief Hymn Background</w:t>
      </w:r>
    </w:p>
    <w:p>
      <w:pPr>
        <w:pStyle w:val="ListBullet"/>
        <w:spacing w:after="40"/>
      </w:pPr>
      <w:r>
        <w:t>Thomas Olivers, a Welsh Methodist preacher, wrote this hymn probably in 1770 after hearing Meyer Lyon sing Yigdal at the Great Synagogue in London.</w:t>
      </w:r>
    </w:p>
    <w:p>
      <w:pPr>
        <w:pStyle w:val="ListBullet"/>
        <w:spacing w:after="40"/>
      </w:pPr>
      <w:r>
        <w:t>Yigdal is a Jewish hymn connected with the thirteen principles of faith associated with Maimonides. Olivers shaped that material into a Christian hymn of praise, covenant faith, pilgrimage, and heavenly hope.</w:t>
      </w:r>
    </w:p>
    <w:p>
      <w:pPr>
        <w:pStyle w:val="ListBullet"/>
        <w:spacing w:after="40"/>
      </w:pPr>
      <w:r>
        <w:t>The tune LEONI is named for Meyer Lyon, also known as Leoni. Its solemn strength gives the hymn a distinctive character among eighteenth-century English hymns.</w:t>
      </w:r>
    </w:p>
    <w:p>
      <w:pPr>
        <w:pStyle w:val="ListBullet"/>
        <w:spacing w:after="40"/>
      </w:pPr>
      <w:r>
        <w:t>The hymn is often printed in selected stanzas, and congregations usually sing it as a majestic hymn of adoration or covenant remembrance.</w:t>
      </w:r>
    </w:p>
    <w:p>
      <w:pPr>
        <w:pStyle w:val="Heading1"/>
      </w:pPr>
      <w:r>
        <w:t>Scripture for Study</w:t>
      </w:r>
    </w:p>
    <w:tbl>
      <w:tblPr>
        <w:tblStyle w:val="TableGrid"/>
        <w:tblW w:type="auto" w:w="0"/>
        <w:jc w:val="center"/>
        <w:tblLook w:firstColumn="1" w:firstRow="1" w:lastColumn="0" w:lastRow="0" w:noHBand="0" w:noVBand="1" w:val="04A0"/>
        <w:tblBorders>
          <w:top w:val="single" w:sz="6" w:space="0" w:color="D8C8AA"/>
          <w:left w:val="single" w:sz="6" w:space="0" w:color="D8C8AA"/>
          <w:bottom w:val="single" w:sz="6" w:space="0" w:color="D8C8AA"/>
          <w:right w:val="single" w:sz="6" w:space="0" w:color="D8C8AA"/>
          <w:insideH w:val="single" w:sz="6" w:space="0" w:color="D8C8AA"/>
          <w:insideV w:val="single" w:sz="6" w:space="0" w:color="D8C8AA"/>
        </w:tblBorders>
      </w:tblPr>
      <w:tblGrid>
        <w:gridCol w:w="5112"/>
        <w:gridCol w:w="5112"/>
      </w:tblGrid>
      <w:tr>
        <w:tc>
          <w:tcPr>
            <w:tcW w:type="dxa" w:w="5112"/>
            <w:shd w:fill="6B4A2A"/>
          </w:tcPr>
          <w:p>
            <w:pPr>
              <w:spacing w:after="40"/>
            </w:pPr>
            <w:r/>
            <w:r>
              <w:rPr>
                <w:b/>
                <w:color w:val="FFFFFF"/>
              </w:rPr>
              <w:t>Main Text</w:t>
            </w:r>
          </w:p>
        </w:tc>
        <w:tc>
          <w:tcPr>
            <w:tcW w:type="dxa" w:w="5112"/>
            <w:shd w:fill="6B4A2A"/>
          </w:tcPr>
          <w:p>
            <w:pPr>
              <w:spacing w:after="40"/>
            </w:pPr>
            <w:r/>
            <w:r>
              <w:rPr>
                <w:b/>
                <w:color w:val="FFFFFF"/>
              </w:rPr>
              <w:t>Supporting Passages</w:t>
            </w:r>
          </w:p>
        </w:tc>
      </w:tr>
      <w:tr>
        <w:tc>
          <w:tcPr>
            <w:tcW w:type="dxa" w:w="5112"/>
          </w:tcPr>
          <w:p>
            <w:pPr>
              <w:spacing w:after="40"/>
            </w:pPr>
            <w:r/>
            <w:r>
              <w:rPr>
                <w:b w:val="0"/>
              </w:rPr>
              <w:t>Exodus 3:6-15 - God reveals himself as the God of Abraham, Isaac, and Jacob and as the great I AM.</w:t>
            </w:r>
          </w:p>
        </w:tc>
        <w:tc>
          <w:tcPr>
            <w:tcW w:type="dxa" w:w="5112"/>
          </w:tcPr>
          <w:p>
            <w:pPr>
              <w:spacing w:after="40"/>
            </w:pPr>
            <w:r/>
            <w:r>
              <w:rPr>
                <w:b w:val="0"/>
              </w:rPr>
              <w:t>Genesis 15:1; Genesis 22:16-17; Hebrews 11:8-16; Revelation 4:8-11</w:t>
            </w:r>
          </w:p>
        </w:tc>
      </w:tr>
    </w:tbl>
    <w:p>
      <w:pPr>
        <w:pStyle w:val="Heading1"/>
      </w:pPr>
      <w:r>
        <w:t>Hymn Movement</w:t>
      </w:r>
    </w:p>
    <w:p>
      <w:pPr>
        <w:pStyle w:val="Heading2"/>
      </w:pPr>
      <w:r>
        <w:t>1. The Eternal God</w:t>
      </w:r>
    </w:p>
    <w:p>
      <w:r>
        <w:t>The hymn begins in adoration. God is praised as the eternal, living, covenant-keeping Lord whose name is worthy of blessing forever.</w:t>
      </w:r>
    </w:p>
    <w:p>
      <w:pPr>
        <w:pStyle w:val="Heading2"/>
      </w:pPr>
      <w:r>
        <w:t>2. The Pilgrim Call</w:t>
      </w:r>
    </w:p>
    <w:p>
      <w:r>
        <w:t>The singer rises at God’s command and leaves lesser securities behind. Faith is pictured as a journey toward the joy of God’s presence.</w:t>
      </w:r>
    </w:p>
    <w:p>
      <w:pPr>
        <w:pStyle w:val="Heading2"/>
      </w:pPr>
      <w:r>
        <w:t>3. Grace for the Weak</w:t>
      </w:r>
    </w:p>
    <w:p>
      <w:r>
        <w:t>The hymn marvels that the majestic God draws near in mercy. Christian worship is not only awe before majesty; it is confidence in grace through Christ.</w:t>
      </w:r>
    </w:p>
    <w:p>
      <w:pPr>
        <w:pStyle w:val="Heading2"/>
      </w:pPr>
      <w:r>
        <w:t>4. Promise and Hope</w:t>
      </w:r>
    </w:p>
    <w:p>
      <w:r>
        <w:t>God’s oath and promise hold the believer when feelings are unsteady. The pilgrim looks toward the heavenly country described in Hebrews 11.</w:t>
      </w:r>
    </w:p>
    <w:p>
      <w:pPr>
        <w:pStyle w:val="Heading2"/>
      </w:pPr>
      <w:r>
        <w:t>5. Joining Heavenly Praise</w:t>
      </w:r>
    </w:p>
    <w:p>
      <w:r>
        <w:t>The final movement gathers earthly worship into the praise of heaven. The hymn ends with doxology, not self-focus.</w:t>
      </w:r>
    </w:p>
    <w:p>
      <w:pPr>
        <w:pStyle w:val="Heading1"/>
      </w:pPr>
      <w:r>
        <w:t>Study Table</w:t>
      </w:r>
    </w:p>
    <w:tbl>
      <w:tblPr>
        <w:tblStyle w:val="TableGrid"/>
        <w:tblW w:type="auto" w:w="0"/>
        <w:jc w:val="center"/>
        <w:tblLook w:firstColumn="1" w:firstRow="1" w:lastColumn="0" w:lastRow="0" w:noHBand="0" w:noVBand="1" w:val="04A0"/>
        <w:tblBorders>
          <w:top w:val="single" w:sz="6" w:space="0" w:color="D8C8AA"/>
          <w:left w:val="single" w:sz="6" w:space="0" w:color="D8C8AA"/>
          <w:bottom w:val="single" w:sz="6" w:space="0" w:color="D8C8AA"/>
          <w:right w:val="single" w:sz="6" w:space="0" w:color="D8C8AA"/>
          <w:insideH w:val="single" w:sz="6" w:space="0" w:color="D8C8AA"/>
          <w:insideV w:val="single" w:sz="6" w:space="0" w:color="D8C8AA"/>
        </w:tblBorders>
      </w:tblPr>
      <w:tblGrid>
        <w:gridCol w:w="3408"/>
        <w:gridCol w:w="3408"/>
        <w:gridCol w:w="3408"/>
      </w:tblGrid>
      <w:tr>
        <w:tc>
          <w:tcPr>
            <w:tcW w:type="dxa" w:w="3408"/>
            <w:shd w:fill="6B4A2A"/>
          </w:tcPr>
          <w:p>
            <w:pPr>
              <w:spacing w:after="40"/>
            </w:pPr>
            <w:r/>
            <w:r>
              <w:rPr>
                <w:b/>
                <w:color w:val="FFFFFF"/>
              </w:rPr>
              <w:t>Hymn Theme</w:t>
            </w:r>
          </w:p>
        </w:tc>
        <w:tc>
          <w:tcPr>
            <w:tcW w:type="dxa" w:w="3408"/>
            <w:shd w:fill="6B4A2A"/>
          </w:tcPr>
          <w:p>
            <w:pPr>
              <w:spacing w:after="40"/>
            </w:pPr>
            <w:r/>
            <w:r>
              <w:rPr>
                <w:b/>
                <w:color w:val="FFFFFF"/>
              </w:rPr>
              <w:t>Scripture Connection</w:t>
            </w:r>
          </w:p>
        </w:tc>
        <w:tc>
          <w:tcPr>
            <w:tcW w:type="dxa" w:w="3408"/>
            <w:shd w:fill="6B4A2A"/>
          </w:tcPr>
          <w:p>
            <w:pPr>
              <w:spacing w:after="40"/>
            </w:pPr>
            <w:r/>
            <w:r>
              <w:rPr>
                <w:b/>
                <w:color w:val="FFFFFF"/>
              </w:rPr>
              <w:t>Discussion Prompt</w:t>
            </w:r>
          </w:p>
        </w:tc>
      </w:tr>
      <w:tr>
        <w:tc>
          <w:tcPr>
            <w:tcW w:type="dxa" w:w="3408"/>
          </w:tcPr>
          <w:p>
            <w:pPr>
              <w:spacing w:after="40"/>
            </w:pPr>
            <w:r/>
            <w:r>
              <w:rPr>
                <w:b w:val="0"/>
              </w:rPr>
              <w:t>God’s eternal name</w:t>
            </w:r>
          </w:p>
        </w:tc>
        <w:tc>
          <w:tcPr>
            <w:tcW w:type="dxa" w:w="3408"/>
          </w:tcPr>
          <w:p>
            <w:pPr>
              <w:spacing w:after="40"/>
            </w:pPr>
            <w:r/>
            <w:r>
              <w:rPr>
                <w:b w:val="0"/>
              </w:rPr>
              <w:t>Exodus 3:6-15</w:t>
            </w:r>
          </w:p>
        </w:tc>
        <w:tc>
          <w:tcPr>
            <w:tcW w:type="dxa" w:w="3408"/>
          </w:tcPr>
          <w:p>
            <w:pPr>
              <w:spacing w:after="40"/>
            </w:pPr>
            <w:r/>
            <w:r>
              <w:rPr>
                <w:b w:val="0"/>
              </w:rPr>
              <w:t>Why does God’s name give courage to Moses and to us?</w:t>
            </w:r>
          </w:p>
        </w:tc>
      </w:tr>
      <w:tr>
        <w:tc>
          <w:tcPr>
            <w:tcW w:type="dxa" w:w="3408"/>
          </w:tcPr>
          <w:p>
            <w:pPr>
              <w:spacing w:after="40"/>
            </w:pPr>
            <w:r/>
            <w:r>
              <w:rPr>
                <w:b w:val="0"/>
              </w:rPr>
              <w:t>God as shield and reward</w:t>
            </w:r>
          </w:p>
        </w:tc>
        <w:tc>
          <w:tcPr>
            <w:tcW w:type="dxa" w:w="3408"/>
          </w:tcPr>
          <w:p>
            <w:pPr>
              <w:spacing w:after="40"/>
            </w:pPr>
            <w:r/>
            <w:r>
              <w:rPr>
                <w:b w:val="0"/>
              </w:rPr>
              <w:t>Genesis 15:1</w:t>
            </w:r>
          </w:p>
        </w:tc>
        <w:tc>
          <w:tcPr>
            <w:tcW w:type="dxa" w:w="3408"/>
          </w:tcPr>
          <w:p>
            <w:pPr>
              <w:spacing w:after="40"/>
            </w:pPr>
            <w:r/>
            <w:r>
              <w:rPr>
                <w:b w:val="0"/>
              </w:rPr>
              <w:t>Where do you look for safety, approval, or reward?</w:t>
            </w:r>
          </w:p>
        </w:tc>
      </w:tr>
      <w:tr>
        <w:tc>
          <w:tcPr>
            <w:tcW w:type="dxa" w:w="3408"/>
          </w:tcPr>
          <w:p>
            <w:pPr>
              <w:spacing w:after="40"/>
            </w:pPr>
            <w:r/>
            <w:r>
              <w:rPr>
                <w:b w:val="0"/>
              </w:rPr>
              <w:t>Pilgrim faith</w:t>
            </w:r>
          </w:p>
        </w:tc>
        <w:tc>
          <w:tcPr>
            <w:tcW w:type="dxa" w:w="3408"/>
          </w:tcPr>
          <w:p>
            <w:pPr>
              <w:spacing w:after="40"/>
            </w:pPr>
            <w:r/>
            <w:r>
              <w:rPr>
                <w:b w:val="0"/>
              </w:rPr>
              <w:t>Hebrews 11:8-16</w:t>
            </w:r>
          </w:p>
        </w:tc>
        <w:tc>
          <w:tcPr>
            <w:tcW w:type="dxa" w:w="3408"/>
          </w:tcPr>
          <w:p>
            <w:pPr>
              <w:spacing w:after="40"/>
            </w:pPr>
            <w:r/>
            <w:r>
              <w:rPr>
                <w:b w:val="0"/>
              </w:rPr>
              <w:t>What does it mean to seek a better country while living faithfully here?</w:t>
            </w:r>
          </w:p>
        </w:tc>
      </w:tr>
      <w:tr>
        <w:tc>
          <w:tcPr>
            <w:tcW w:type="dxa" w:w="3408"/>
          </w:tcPr>
          <w:p>
            <w:pPr>
              <w:spacing w:after="40"/>
            </w:pPr>
            <w:r/>
            <w:r>
              <w:rPr>
                <w:b w:val="0"/>
              </w:rPr>
              <w:t>Strength from above</w:t>
            </w:r>
          </w:p>
        </w:tc>
        <w:tc>
          <w:tcPr>
            <w:tcW w:type="dxa" w:w="3408"/>
          </w:tcPr>
          <w:p>
            <w:pPr>
              <w:spacing w:after="40"/>
            </w:pPr>
            <w:r/>
            <w:r>
              <w:rPr>
                <w:b w:val="0"/>
              </w:rPr>
              <w:t>Isaiah 40:31</w:t>
            </w:r>
          </w:p>
        </w:tc>
        <w:tc>
          <w:tcPr>
            <w:tcW w:type="dxa" w:w="3408"/>
          </w:tcPr>
          <w:p>
            <w:pPr>
              <w:spacing w:after="40"/>
            </w:pPr>
            <w:r/>
            <w:r>
              <w:rPr>
                <w:b w:val="0"/>
              </w:rPr>
              <w:t>How does God sustain believers who cannot sustain themselves?</w:t>
            </w:r>
          </w:p>
        </w:tc>
      </w:tr>
      <w:tr>
        <w:tc>
          <w:tcPr>
            <w:tcW w:type="dxa" w:w="3408"/>
          </w:tcPr>
          <w:p>
            <w:pPr>
              <w:spacing w:after="40"/>
            </w:pPr>
            <w:r/>
            <w:r>
              <w:rPr>
                <w:b w:val="0"/>
              </w:rPr>
              <w:t>Heavenly worship</w:t>
            </w:r>
          </w:p>
        </w:tc>
        <w:tc>
          <w:tcPr>
            <w:tcW w:type="dxa" w:w="3408"/>
          </w:tcPr>
          <w:p>
            <w:pPr>
              <w:spacing w:after="40"/>
            </w:pPr>
            <w:r/>
            <w:r>
              <w:rPr>
                <w:b w:val="0"/>
              </w:rPr>
              <w:t>Revelation 4:8-11</w:t>
            </w:r>
          </w:p>
        </w:tc>
        <w:tc>
          <w:tcPr>
            <w:tcW w:type="dxa" w:w="3408"/>
          </w:tcPr>
          <w:p>
            <w:pPr>
              <w:spacing w:after="40"/>
            </w:pPr>
            <w:r/>
            <w:r>
              <w:rPr>
                <w:b w:val="0"/>
              </w:rPr>
              <w:t>How should heavenly praise shape ordinary Sunday worship?</w:t>
            </w:r>
          </w:p>
        </w:tc>
      </w:tr>
    </w:tbl>
    <w:p>
      <w:pPr>
        <w:pStyle w:val="Heading1"/>
      </w:pPr>
      <w:r>
        <w:t>Discussion Questions</w:t>
      </w:r>
    </w:p>
    <w:p>
      <w:pPr>
        <w:pStyle w:val="ListNumber"/>
        <w:spacing w:after="40"/>
      </w:pPr>
      <w:r>
        <w:t>What does the hymn teach about God before it says anything about us?</w:t>
      </w:r>
    </w:p>
    <w:p>
      <w:pPr>
        <w:pStyle w:val="ListNumber"/>
        <w:spacing w:after="40"/>
      </w:pPr>
      <w:r>
        <w:t>How does Abraham’s journey help explain the Christian life as pilgrimage?</w:t>
      </w:r>
    </w:p>
    <w:p>
      <w:pPr>
        <w:pStyle w:val="ListNumber"/>
        <w:spacing w:after="40"/>
      </w:pPr>
      <w:r>
        <w:t>Why is it pastorally helpful to sing about God’s oath, promise, and faithfulness?</w:t>
      </w:r>
    </w:p>
    <w:p>
      <w:pPr>
        <w:pStyle w:val="ListNumber"/>
        <w:spacing w:after="40"/>
      </w:pPr>
      <w:r>
        <w:t>What do the phrases “shield” and “tower” suggest about God’s care?</w:t>
      </w:r>
    </w:p>
    <w:p>
      <w:pPr>
        <w:pStyle w:val="ListNumber"/>
        <w:spacing w:after="40"/>
      </w:pPr>
      <w:r>
        <w:t>How does the hymn move from Old Testament covenant language into Christian praise?</w:t>
      </w:r>
    </w:p>
    <w:p>
      <w:pPr>
        <w:pStyle w:val="ListNumber"/>
        <w:spacing w:after="40"/>
      </w:pPr>
      <w:r>
        <w:t>What is one worldly form of wisdom, fame, or power that can compete with obedience to God?</w:t>
      </w:r>
    </w:p>
    <w:p>
      <w:pPr>
        <w:pStyle w:val="ListNumber"/>
        <w:spacing w:after="40"/>
      </w:pPr>
      <w:r>
        <w:t>How can a congregation speak respectfully about the hymn’s Jewish liturgical roots?</w:t>
      </w:r>
    </w:p>
    <w:p>
      <w:pPr>
        <w:pStyle w:val="ListNumber"/>
        <w:spacing w:after="40"/>
      </w:pPr>
      <w:r>
        <w:t>What part of the hymn most strengthens your worship today?</w:t>
      </w:r>
    </w:p>
    <w:p>
      <w:pPr>
        <w:pStyle w:val="Heading1"/>
      </w:pPr>
      <w:r>
        <w:t>Practice This Week</w:t>
      </w:r>
    </w:p>
    <w:p>
      <w:pPr>
        <w:pStyle w:val="ListBullet"/>
        <w:spacing w:after="40"/>
      </w:pPr>
      <w:r>
        <w:t>Read Exodus 3:6-15 slowly and write down every name or description of God you notice.</w:t>
      </w:r>
    </w:p>
    <w:p>
      <w:pPr>
        <w:pStyle w:val="ListBullet"/>
        <w:spacing w:after="40"/>
      </w:pPr>
      <w:r>
        <w:t>Pray through Genesis 15:1, asking God to be your shield and reward in one specific situation.</w:t>
      </w:r>
    </w:p>
    <w:p>
      <w:pPr>
        <w:pStyle w:val="ListBullet"/>
        <w:spacing w:after="40"/>
      </w:pPr>
      <w:r>
        <w:t>Name one lesser security you need to hold more lightly this week.</w:t>
      </w:r>
    </w:p>
    <w:p>
      <w:pPr>
        <w:pStyle w:val="ListBullet"/>
        <w:spacing w:after="40"/>
      </w:pPr>
      <w:r>
        <w:t>Encourage someone who is weary by sharing one promise of God’s faithfulness.</w:t>
      </w:r>
    </w:p>
    <w:p>
      <w:pPr>
        <w:pStyle w:val="ListBullet"/>
        <w:spacing w:after="40"/>
      </w:pPr>
      <w:r>
        <w:t>Begin one day with doxology: praise God before listing requests.</w:t>
      </w:r>
    </w:p>
    <w:p>
      <w:pPr>
        <w:pStyle w:val="Heading1"/>
      </w:pPr>
      <w:r>
        <w:t>Leader Notes</w:t>
      </w:r>
    </w:p>
    <w:p>
      <w:r>
        <w:t>Keep the discussion centered on God’s character. The hymn is historically rich, but its pastoral power comes from worshiping the eternal God who keeps covenant, sustains pilgrims, and gathers his people into praise. When discussing Yigdal and LEONI, use respectful language and avoid treating Jewish worship as merely a background detail for Christian use.</w:t>
      </w:r>
    </w:p>
    <w:p>
      <w:pPr>
        <w:pStyle w:val="Heading1"/>
      </w:pPr>
      <w:r>
        <w:t>Closing Prayer</w:t>
      </w:r>
    </w:p>
    <w:p>
      <w:r>
        <w:t>Eternal God of Abraham, Isaac, and Jacob, teach us to trust your name, rest in your promise, and walk as pilgrims toward your kingdom. Lift our eyes from lesser things and make our worship strong, humble, and glad. Through Jesus Christ our Lord. Amen.</w:t>
      </w:r>
    </w:p>
    <w:p>
      <w:pPr>
        <w:spacing w:before="160"/>
        <w:jc w:val="center"/>
      </w:pPr>
      <w:r>
        <w:rPr>
          <w:color w:val="70685E"/>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5D50"/>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71481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364E5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533F3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452B14"/>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