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Georgia" w:hAnsi="Georgia"/>
          <w:b/>
          <w:color w:val="182033"/>
          <w:sz w:val="44"/>
        </w:rPr>
        <w:t>Softly and Tenderly Jesus Is Calling</w:t>
      </w:r>
    </w:p>
    <w:p>
      <w:pPr>
        <w:jc w:val="center"/>
      </w:pPr>
      <w:r>
        <w:rPr>
          <w:color w:val="455266"/>
          <w:sz w:val="21"/>
        </w:rPr>
        <w:t>A small group study on Christ’s gracious invitation, repentance, mercy, and return to God.</w:t>
      </w:r>
    </w:p>
    <w:p>
      <w:pPr>
        <w:pStyle w:val="Heading1"/>
        <w:spacing w:before="120" w:after="60"/>
      </w:pPr>
      <w:r>
        <w:t>Opening Reflection</w:t>
      </w:r>
    </w:p>
    <w:p>
      <w:pPr>
        <w:pStyle w:val="ListBullet"/>
        <w:spacing w:after="40" w:line="240" w:lineRule="auto"/>
      </w:pPr>
      <w:r>
        <w:t>When have you most needed to hear Christ’s welcome rather than human pressure?</w:t>
      </w:r>
    </w:p>
    <w:p>
      <w:pPr>
        <w:pStyle w:val="ListBullet"/>
        <w:spacing w:after="40" w:line="240" w:lineRule="auto"/>
      </w:pPr>
      <w:r>
        <w:t>What makes an invitation sound trustworthy, gentle, and true?</w:t>
      </w:r>
    </w:p>
    <w:p>
      <w:pPr>
        <w:pStyle w:val="ListBullet"/>
        <w:spacing w:after="40" w:line="240" w:lineRule="auto"/>
      </w:pPr>
      <w:r>
        <w:t>How can a church call people to repentance while still sounding like Jesus?</w:t>
      </w:r>
    </w:p>
    <w:p>
      <w:pPr>
        <w:pStyle w:val="Heading1"/>
        <w:spacing w:before="120" w:after="60"/>
      </w:pPr>
      <w:r>
        <w:t>Brief Hymn Background</w:t>
      </w:r>
    </w:p>
    <w:p>
      <w:pPr>
        <w:spacing w:after="80" w:line="252" w:lineRule="auto"/>
      </w:pPr>
      <w:r>
        <w:rPr>
          <w:b/>
          <w:color w:val="8E4A38"/>
        </w:rPr>
        <w:t>Words and music:</w:t>
      </w:r>
      <w:r>
        <w:t xml:space="preserve"> Will Lamartine Thompson (1847–1909), an American songwriter, composer, and music publisher associated with East Liverpool, Ohio.</w:t>
      </w:r>
    </w:p>
    <w:p>
      <w:pPr>
        <w:spacing w:after="80" w:line="252" w:lineRule="auto"/>
      </w:pPr>
      <w:r>
        <w:rPr>
          <w:b/>
          <w:color w:val="8E4A38"/>
        </w:rPr>
        <w:t>First published:</w:t>
      </w:r>
      <w:r>
        <w:t xml:space="preserve"> 1880 in Sparkling Gems Nos. 1 and 2, a gospel song collection published by Will L. Thompson &amp; Company.</w:t>
      </w:r>
    </w:p>
    <w:p>
      <w:pPr>
        <w:spacing w:after="80" w:line="252" w:lineRule="auto"/>
      </w:pPr>
      <w:r>
        <w:rPr>
          <w:b/>
          <w:color w:val="8E4A38"/>
        </w:rPr>
        <w:t>Tune and meter:</w:t>
      </w:r>
      <w:r>
        <w:t xml:space="preserve"> commonly identified as THOMPSON or SOFTLY AND TENDERLY; 11.7.11.7 with refrain.</w:t>
      </w:r>
    </w:p>
    <w:p>
      <w:pPr>
        <w:spacing w:after="80" w:line="252" w:lineRule="auto"/>
      </w:pPr>
      <w:r>
        <w:rPr>
          <w:b/>
          <w:color w:val="8E4A38"/>
        </w:rPr>
        <w:t>Setting:</w:t>
      </w:r>
      <w:r>
        <w:t xml:space="preserve"> late nineteenth-century American gospel invitation hymnody, where song often gave worshipers a moment of personal response after preaching.</w:t>
      </w:r>
    </w:p>
    <w:p>
      <w:pPr>
        <w:pStyle w:val="Heading1"/>
        <w:spacing w:before="120" w:after="60"/>
      </w:pPr>
      <w:r>
        <w:t>Scripture for Study</w:t>
      </w:r>
    </w:p>
    <w:p>
      <w:pPr>
        <w:spacing w:after="80" w:line="252" w:lineRule="auto"/>
      </w:pPr>
      <w:r>
        <w:rPr>
          <w:b/>
          <w:color w:val="8E4A38"/>
        </w:rPr>
        <w:t>Primary text:</w:t>
      </w:r>
      <w:r>
        <w:t xml:space="preserve"> Matthew 11:28 - Christ calls the weary and burdened to come to him for rest.</w:t>
      </w:r>
    </w:p>
    <w:p>
      <w:pPr>
        <w:spacing w:after="80" w:line="252" w:lineRule="auto"/>
      </w:pPr>
      <w:r>
        <w:rPr>
          <w:b/>
          <w:color w:val="8E4A38"/>
        </w:rPr>
        <w:t>Supporting passages:</w:t>
      </w:r>
      <w:r>
        <w:t xml:space="preserve"> Isaiah 55:6–7; Luke 15:20; Revelation 3:20; Hebrews 3:15.</w:t>
      </w:r>
    </w:p>
    <w:p>
      <w:pPr>
        <w:pStyle w:val="Heading1"/>
        <w:spacing w:before="120" w:after="60"/>
      </w:pPr>
      <w:r>
        <w:t>Hymn Study</w:t>
      </w:r>
    </w:p>
    <w:p>
      <w:pPr>
        <w:spacing w:after="80" w:line="252" w:lineRule="auto"/>
      </w:pPr>
      <w:r>
        <w:t>The opening movement pictures Jesus as near, attentive, and personally calling. His invitation is gentle, but it still asks for response. The pastoral center is not pressure; it is mercy offered by the Savior.</w:t>
      </w:r>
    </w:p>
    <w:p>
      <w:pPr>
        <w:spacing w:after="80" w:line="252" w:lineRule="auto"/>
      </w:pPr>
      <w:r>
        <w:t>The refrain gathers the hymn’s message into one repeated appeal: the weary are summoned home. The repetition gives the congregation time to hear the call, pray honestly, and respond.</w:t>
      </w:r>
    </w:p>
    <w:p>
      <w:pPr>
        <w:spacing w:after="80" w:line="252" w:lineRule="auto"/>
      </w:pPr>
      <w:r>
        <w:t>The later movement turns to promise: Christ’s love is real, mercy is ready, and pardon is offered to those who return. Isaiah 55 and Luke 15 help the group see repentance as a return toward compassion, not a flight from it.</w:t>
      </w:r>
    </w:p>
    <w:p>
      <w:pPr>
        <w:pStyle w:val="Heading1"/>
        <w:spacing w:before="120" w:after="60"/>
      </w:pPr>
      <w:r>
        <w:t>Study Table</w:t>
      </w:r>
    </w:p>
    <w:tbl>
      <w:tblPr>
        <w:tblStyle w:val="TableGrid"/>
        <w:tblW w:type="auto" w:w="0"/>
        <w:jc w:val="center"/>
        <w:tblLook w:firstColumn="1" w:firstRow="1" w:lastColumn="0" w:lastRow="0" w:noHBand="0" w:noVBand="1" w:val="04A0"/>
      </w:tblPr>
      <w:tblGrid>
        <w:gridCol w:w="3456"/>
        <w:gridCol w:w="3456"/>
        <w:gridCol w:w="3456"/>
      </w:tblGrid>
      <w:tr>
        <w:tc>
          <w:tcPr>
            <w:tcW w:type="dxa" w:w="3456"/>
            <w:vAlign w:val="center"/>
            <w:shd w:fill="182033"/>
          </w:tcPr>
          <w:p>
            <w:r/>
            <w:r>
              <w:rPr>
                <w:b/>
                <w:color w:val="FFFFFF"/>
                <w:sz w:val="19"/>
              </w:rPr>
              <w:t>Hymn Theme</w:t>
            </w:r>
          </w:p>
        </w:tc>
        <w:tc>
          <w:tcPr>
            <w:tcW w:type="dxa" w:w="3456"/>
            <w:vAlign w:val="center"/>
            <w:shd w:fill="182033"/>
          </w:tcPr>
          <w:p>
            <w:r/>
            <w:r>
              <w:rPr>
                <w:b/>
                <w:color w:val="FFFFFF"/>
                <w:sz w:val="19"/>
              </w:rPr>
              <w:t>Scripture Connection</w:t>
            </w:r>
          </w:p>
        </w:tc>
        <w:tc>
          <w:tcPr>
            <w:tcW w:type="dxa" w:w="3456"/>
            <w:vAlign w:val="center"/>
            <w:shd w:fill="182033"/>
          </w:tcPr>
          <w:p>
            <w:r/>
            <w:r>
              <w:rPr>
                <w:b/>
                <w:color w:val="FFFFFF"/>
                <w:sz w:val="19"/>
              </w:rPr>
              <w:t>Discussion Prompt</w:t>
            </w:r>
          </w:p>
        </w:tc>
      </w:tr>
      <w:tr>
        <w:tc>
          <w:tcPr>
            <w:tcW w:type="dxa" w:w="3456"/>
            <w:vAlign w:val="center"/>
          </w:tcPr>
          <w:p>
            <w:r/>
            <w:r>
              <w:rPr>
                <w:b w:val="0"/>
                <w:color w:val="182033"/>
                <w:sz w:val="17"/>
              </w:rPr>
              <w:t>Christ’s call</w:t>
            </w:r>
          </w:p>
        </w:tc>
        <w:tc>
          <w:tcPr>
            <w:tcW w:type="dxa" w:w="3456"/>
            <w:vAlign w:val="center"/>
          </w:tcPr>
          <w:p>
            <w:r/>
            <w:r>
              <w:rPr>
                <w:b w:val="0"/>
                <w:color w:val="182033"/>
                <w:sz w:val="17"/>
              </w:rPr>
              <w:t>Matthew 11:28</w:t>
            </w:r>
          </w:p>
        </w:tc>
        <w:tc>
          <w:tcPr>
            <w:tcW w:type="dxa" w:w="3456"/>
            <w:vAlign w:val="center"/>
          </w:tcPr>
          <w:p>
            <w:r/>
            <w:r>
              <w:rPr>
                <w:b w:val="0"/>
                <w:color w:val="182033"/>
                <w:sz w:val="17"/>
              </w:rPr>
              <w:t>What burdens do people bring when they come to Jesus?</w:t>
            </w:r>
          </w:p>
        </w:tc>
      </w:tr>
      <w:tr>
        <w:tc>
          <w:tcPr>
            <w:tcW w:type="dxa" w:w="3456"/>
            <w:vAlign w:val="center"/>
          </w:tcPr>
          <w:p>
            <w:r/>
            <w:r>
              <w:rPr>
                <w:b w:val="0"/>
                <w:color w:val="182033"/>
                <w:sz w:val="17"/>
              </w:rPr>
              <w:t>Return and mercy</w:t>
            </w:r>
          </w:p>
        </w:tc>
        <w:tc>
          <w:tcPr>
            <w:tcW w:type="dxa" w:w="3456"/>
            <w:vAlign w:val="center"/>
          </w:tcPr>
          <w:p>
            <w:r/>
            <w:r>
              <w:rPr>
                <w:b w:val="0"/>
                <w:color w:val="182033"/>
                <w:sz w:val="17"/>
              </w:rPr>
              <w:t>Isaiah 55:6–7</w:t>
            </w:r>
          </w:p>
        </w:tc>
        <w:tc>
          <w:tcPr>
            <w:tcW w:type="dxa" w:w="3456"/>
            <w:vAlign w:val="center"/>
          </w:tcPr>
          <w:p>
            <w:r/>
            <w:r>
              <w:rPr>
                <w:b w:val="0"/>
                <w:color w:val="182033"/>
                <w:sz w:val="17"/>
              </w:rPr>
              <w:t>What keeps people from returning to God?</w:t>
            </w:r>
          </w:p>
        </w:tc>
      </w:tr>
      <w:tr>
        <w:tc>
          <w:tcPr>
            <w:tcW w:type="dxa" w:w="3456"/>
            <w:vAlign w:val="center"/>
          </w:tcPr>
          <w:p>
            <w:r/>
            <w:r>
              <w:rPr>
                <w:b w:val="0"/>
                <w:color w:val="182033"/>
                <w:sz w:val="17"/>
              </w:rPr>
              <w:t>Welcoming love</w:t>
            </w:r>
          </w:p>
        </w:tc>
        <w:tc>
          <w:tcPr>
            <w:tcW w:type="dxa" w:w="3456"/>
            <w:vAlign w:val="center"/>
          </w:tcPr>
          <w:p>
            <w:r/>
            <w:r>
              <w:rPr>
                <w:b w:val="0"/>
                <w:color w:val="182033"/>
                <w:sz w:val="17"/>
              </w:rPr>
              <w:t>Luke 15:20</w:t>
            </w:r>
          </w:p>
        </w:tc>
        <w:tc>
          <w:tcPr>
            <w:tcW w:type="dxa" w:w="3456"/>
            <w:vAlign w:val="center"/>
          </w:tcPr>
          <w:p>
            <w:r/>
            <w:r>
              <w:rPr>
                <w:b w:val="0"/>
                <w:color w:val="182033"/>
                <w:sz w:val="17"/>
              </w:rPr>
              <w:t>How does the father’s compassion shape our church life?</w:t>
            </w:r>
          </w:p>
        </w:tc>
      </w:tr>
      <w:tr>
        <w:tc>
          <w:tcPr>
            <w:tcW w:type="dxa" w:w="3456"/>
            <w:vAlign w:val="center"/>
          </w:tcPr>
          <w:p>
            <w:r/>
            <w:r>
              <w:rPr>
                <w:b w:val="0"/>
                <w:color w:val="182033"/>
                <w:sz w:val="17"/>
              </w:rPr>
              <w:t>Today’s response</w:t>
            </w:r>
          </w:p>
        </w:tc>
        <w:tc>
          <w:tcPr>
            <w:tcW w:type="dxa" w:w="3456"/>
            <w:vAlign w:val="center"/>
          </w:tcPr>
          <w:p>
            <w:r/>
            <w:r>
              <w:rPr>
                <w:b w:val="0"/>
                <w:color w:val="182033"/>
                <w:sz w:val="17"/>
              </w:rPr>
              <w:t>Hebrews 3:15</w:t>
            </w:r>
          </w:p>
        </w:tc>
        <w:tc>
          <w:tcPr>
            <w:tcW w:type="dxa" w:w="3456"/>
            <w:vAlign w:val="center"/>
          </w:tcPr>
          <w:p>
            <w:r/>
            <w:r>
              <w:rPr>
                <w:b w:val="0"/>
                <w:color w:val="182033"/>
                <w:sz w:val="17"/>
              </w:rPr>
              <w:t>What does faithful response look like this week?</w:t>
            </w:r>
          </w:p>
        </w:tc>
      </w:tr>
    </w:tbl>
    <w:p>
      <w:pPr>
        <w:pStyle w:val="Heading1"/>
        <w:spacing w:before="120" w:after="60"/>
      </w:pPr>
      <w:r>
        <w:t>Discussion Questions</w:t>
      </w:r>
    </w:p>
    <w:p>
      <w:pPr>
        <w:pStyle w:val="ListBullet"/>
        <w:spacing w:after="40" w:line="240" w:lineRule="auto"/>
      </w:pPr>
      <w:r>
        <w:t>What does the hymn teach about the character of Christ’s invitation?</w:t>
      </w:r>
    </w:p>
    <w:p>
      <w:pPr>
        <w:pStyle w:val="ListBullet"/>
        <w:spacing w:after="40" w:line="240" w:lineRule="auto"/>
      </w:pPr>
      <w:r>
        <w:t>How do Matthew 11:28 and Isaiah 55:6–7 help us understand grace and return?</w:t>
      </w:r>
    </w:p>
    <w:p>
      <w:pPr>
        <w:pStyle w:val="ListBullet"/>
        <w:spacing w:after="40" w:line="240" w:lineRule="auto"/>
      </w:pPr>
      <w:r>
        <w:t>Why is tenderness important when calling people to repentance?</w:t>
      </w:r>
    </w:p>
    <w:p>
      <w:pPr>
        <w:pStyle w:val="ListBullet"/>
        <w:spacing w:after="40" w:line="240" w:lineRule="auto"/>
      </w:pPr>
      <w:r>
        <w:t>What does Luke 15 teach us about the heart of God toward the returning sinner?</w:t>
      </w:r>
    </w:p>
    <w:p>
      <w:pPr>
        <w:pStyle w:val="ListBullet"/>
        <w:spacing w:after="40" w:line="240" w:lineRule="auto"/>
      </w:pPr>
      <w:r>
        <w:t>How can a congregation create space for honest response without emotional manipulation?</w:t>
      </w:r>
    </w:p>
    <w:p>
      <w:pPr>
        <w:pStyle w:val="ListBullet"/>
        <w:spacing w:after="40" w:line="240" w:lineRule="auto"/>
      </w:pPr>
      <w:r>
        <w:t>Where might Christ be calling you to come home in trust, obedience, or renewed fellowship?</w:t>
      </w:r>
    </w:p>
    <w:p>
      <w:pPr>
        <w:pStyle w:val="ListBullet"/>
        <w:spacing w:after="40" w:line="240" w:lineRule="auto"/>
      </w:pPr>
      <w:r>
        <w:t>How can this group practice welcome toward the weary, doubting, or returning?</w:t>
      </w:r>
    </w:p>
    <w:p>
      <w:pPr>
        <w:pStyle w:val="Heading1"/>
        <w:spacing w:before="120" w:after="60"/>
      </w:pPr>
      <w:r>
        <w:t>Practice This Week</w:t>
      </w:r>
    </w:p>
    <w:p>
      <w:pPr>
        <w:pStyle w:val="ListBullet"/>
        <w:spacing w:after="40" w:line="240" w:lineRule="auto"/>
      </w:pPr>
      <w:r>
        <w:t>Pray Matthew 11:28 each day and name one burden before Christ.</w:t>
      </w:r>
    </w:p>
    <w:p>
      <w:pPr>
        <w:pStyle w:val="ListBullet"/>
        <w:spacing w:after="40" w:line="240" w:lineRule="auto"/>
      </w:pPr>
      <w:r>
        <w:t>Read Isaiah 55:6–7 and write one sentence of honest return to God.</w:t>
      </w:r>
    </w:p>
    <w:p>
      <w:pPr>
        <w:pStyle w:val="ListBullet"/>
        <w:spacing w:after="40" w:line="240" w:lineRule="auto"/>
      </w:pPr>
      <w:r>
        <w:t>Encourage one weary person with a word of mercy and welcome.</w:t>
      </w:r>
    </w:p>
    <w:p>
      <w:pPr>
        <w:pStyle w:val="ListBullet"/>
        <w:spacing w:after="40" w:line="240" w:lineRule="auto"/>
      </w:pPr>
      <w:r>
        <w:t>Ask whether your speech to others sounds like the tenderness of Jesus.</w:t>
      </w:r>
    </w:p>
    <w:p>
      <w:pPr>
        <w:pStyle w:val="Heading1"/>
        <w:spacing w:before="120" w:after="60"/>
      </w:pPr>
      <w:r>
        <w:t>Optional Leader Notes</w:t>
      </w:r>
    </w:p>
    <w:p>
      <w:pPr>
        <w:spacing w:after="80" w:line="252" w:lineRule="auto"/>
      </w:pPr>
      <w:r>
        <w:t>Keep the conversation anchored in Scripture. Let the group name both the kindness and the urgency of Christ’s call. If painful stories arise, respond gently and avoid turning the discussion into a debate about worship style.</w:t>
      </w:r>
    </w:p>
    <w:p>
      <w:pPr>
        <w:pStyle w:val="Heading1"/>
        <w:spacing w:before="120" w:after="60"/>
      </w:pPr>
      <w:r>
        <w:t>Closing Prayer</w:t>
      </w:r>
    </w:p>
    <w:p>
      <w:pPr>
        <w:spacing w:after="80" w:line="252" w:lineRule="auto"/>
      </w:pPr>
      <w:r>
        <w:t>Lord Jesus, you call the weary to yourself with mercy and truth. Give us grace to hear you, courage to return, and tenderness to welcome others in your name. Amen.</w:t>
      </w:r>
    </w:p>
    <w:p>
      <w:pPr>
        <w:jc w:val="center"/>
      </w:pPr>
      <w:r>
        <w:rPr>
          <w:color w:val="455266"/>
          <w:sz w:val="15"/>
        </w:rPr>
        <w:t>© HymnInfo.com. Free for personal, church, classroom, and small-group teaching use. Please do not sell, repost, or redistribute as downloadable files without permission.</w:t>
      </w:r>
    </w:p>
    <w:sectPr w:rsidR="00FC693F" w:rsidRPr="0006063C" w:rsidSect="00034616">
      <w:footerReference w:type="default" r:id="rId9"/>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55266"/>
        <w:sz w:val="16"/>
      </w:rPr>
      <w:t>Prepared for teaching and small group use - hymninfo.com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eastAsia="Georgia"/>
      <w:b/>
      <w:bCs/>
      <w:color w:val="8E4A38"/>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eastAsia="Georgia"/>
      <w:b/>
      <w:bCs/>
      <w:color w:val="18203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eastAsia="Georgia"/>
      <w:color w:val="182033"/>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Softly and Tenderly Jesus Is Calling</dc:title>
  <dc:subject>Hymn study resource</dc:subject>
  <dc:creator>HymnInfo.com</dc:creator>
  <cp:keywords>hymn study, Christian worship, church teaching, HymnInfo</cp:keywords>
  <dc:description/>
  <cp:lastModifiedBy/>
  <cp:revision>1</cp:revision>
  <dcterms:created xsi:type="dcterms:W3CDTF">2013-12-23T23:15:00Z</dcterms:created>
  <dcterms:modified xsi:type="dcterms:W3CDTF">2013-12-23T23:15:00Z</dcterms:modified>
  <cp:category>Hymn study resource</cp:category>
</cp:coreProperties>
</file>