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583620"/>
          <w:sz w:val="44"/>
        </w:rPr>
        <w:t>The Lord's Prayer</w:t>
      </w:r>
    </w:p>
    <w:p>
      <w:pPr>
        <w:spacing w:after="160"/>
        <w:jc w:val="center"/>
      </w:pPr>
      <w:r>
        <w:rPr>
          <w:i/>
          <w:color w:val="5F584F"/>
          <w:sz w:val="22"/>
        </w:rPr>
        <w:t>Sermon Outline | “Teach Us to Pray”</w:t>
      </w:r>
    </w:p>
    <w:p>
      <w:pPr>
        <w:spacing w:after="160"/>
        <w:jc w:val="center"/>
      </w:pPr>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The Lord's Prayer Image Strip.jpg"/>
                    <pic:cNvPicPr/>
                  </pic:nvPicPr>
                  <pic:blipFill>
                    <a:blip r:embed="rId10"/>
                    <a:stretch>
                      <a:fillRect/>
                    </a:stretch>
                  </pic:blipFill>
                  <pic:spPr>
                    <a:xfrm>
                      <a:off x="0" y="0"/>
                      <a:ext cx="5943600" cy="1981200"/>
                    </a:xfrm>
                    <a:prstGeom prst="rect"/>
                  </pic:spPr>
                </pic:pic>
              </a:graphicData>
            </a:graphic>
          </wp:inline>
        </w:drawing>
      </w:r>
    </w:p>
    <w:p>
      <w:pPr>
        <w:pStyle w:val="Heading1"/>
      </w:pPr>
      <w:r>
        <w:t>Sermon Title</w:t>
      </w:r>
    </w:p>
    <w:p>
      <w:r>
        <w:t>The Lord's Prayer: A Life Ordered Around God</w:t>
      </w:r>
    </w:p>
    <w:p>
      <w:pPr>
        <w:pStyle w:val="Heading1"/>
      </w:pPr>
      <w:r>
        <w:t>Main Text and Supporting Scriptures</w:t>
      </w:r>
    </w:p>
    <w:p>
      <w:r>
        <w:rPr>
          <w:b/>
        </w:rPr>
        <w:t xml:space="preserve">Main text: </w:t>
      </w:r>
      <w:r>
        <w:t>Matthew 6:9-13</w:t>
      </w:r>
    </w:p>
    <w:p>
      <w:r>
        <w:rPr>
          <w:b/>
        </w:rPr>
        <w:t xml:space="preserve">Supporting Scriptures: </w:t>
      </w:r>
      <w:r>
        <w:t>Luke 11:2-4; 1 Chronicles 29:11-13</w:t>
      </w:r>
    </w:p>
    <w:p>
      <w:pPr>
        <w:pStyle w:val="Heading1"/>
      </w:pPr>
      <w:r>
        <w:t>Big Idea</w:t>
      </w:r>
    </w:p>
    <w:p>
      <w:r>
        <w:t>Jesus teaches his people to pray by reordering their worship, needs, relationships, struggles, and hope under the Father's kingdom, power, and glory.</w:t>
      </w:r>
    </w:p>
    <w:p>
      <w:pPr>
        <w:pStyle w:val="Heading1"/>
      </w:pPr>
      <w:r>
        <w:t>Introduction</w:t>
      </w:r>
    </w:p>
    <w:p>
      <w:r>
        <w:t>Many Christians know the Lord's Prayer so well that the words can pass quickly over the lips. This sung setting slows the church down. It reminds the congregation that these are not merely familiar words for a service; they are Christ's school of prayer. The prayer begins with God, gathers the needs of the community, confronts sin and evil, and returns every hope to God's reign and glory.</w:t>
      </w:r>
    </w:p>
    <w:p>
      <w:r>
        <w:t>Historical note for preacher: this setting uses the traditional English wording of Matthew 6:9-13. Cleveland and Nix adapted the text in 1981; Carlton R. Young arranged the WEST INDIAN tune. Do not describe Young as the original composer of the melody.</w:t>
      </w:r>
    </w:p>
    <w:p>
      <w:pPr>
        <w:pStyle w:val="Heading1"/>
      </w:pPr>
      <w:r>
        <w:t>1. Prayer begins with God before it begins with us.</w:t>
      </w:r>
    </w:p>
    <w:p>
      <w:pPr>
        <w:spacing w:after="60"/>
      </w:pPr>
      <w:r>
        <w:rPr>
          <w:b/>
        </w:rPr>
        <w:t xml:space="preserve">Explanation: </w:t>
      </w:r>
      <w:r>
        <w:t>The first words address God as Father in heaven and hallow his name. Christian prayer begins in reverent relationship, not anxious demand.</w:t>
      </w:r>
    </w:p>
    <w:p>
      <w:pPr>
        <w:spacing w:after="60"/>
      </w:pPr>
      <w:r>
        <w:rPr>
          <w:b/>
        </w:rPr>
        <w:t xml:space="preserve">Hymn / setting connection: </w:t>
      </w:r>
      <w:r>
        <w:t>The setting opens with the invocation and adoration of God's name.</w:t>
      </w:r>
    </w:p>
    <w:p>
      <w:pPr>
        <w:spacing w:after="60"/>
      </w:pPr>
      <w:r>
        <w:rPr>
          <w:b/>
        </w:rPr>
        <w:t xml:space="preserve">Biblical support: </w:t>
      </w:r>
      <w:r>
        <w:t>Matthew 6:9; Luke 11:2</w:t>
      </w:r>
    </w:p>
    <w:p>
      <w:pPr>
        <w:spacing w:after="60"/>
      </w:pPr>
      <w:r>
        <w:rPr>
          <w:b/>
        </w:rPr>
        <w:t xml:space="preserve">Illustration idea: </w:t>
      </w:r>
      <w:r>
        <w:t>A child who trusts a good parent comes near, but does not command the parent as a servant.</w:t>
      </w:r>
    </w:p>
    <w:p>
      <w:pPr>
        <w:spacing w:after="60"/>
      </w:pPr>
      <w:r>
        <w:rPr>
          <w:b/>
        </w:rPr>
        <w:t xml:space="preserve">Application: </w:t>
      </w:r>
      <w:r>
        <w:t>Begin prayer with worship. Let God's holiness and fatherly care set the tone before presenting requests.</w:t>
      </w:r>
    </w:p>
    <w:p>
      <w:pPr>
        <w:pStyle w:val="Heading1"/>
      </w:pPr>
      <w:r>
        <w:t>2. Prayer seeks God's kingdom before personal comfort.</w:t>
      </w:r>
    </w:p>
    <w:p>
      <w:pPr>
        <w:spacing w:after="60"/>
      </w:pPr>
      <w:r>
        <w:rPr>
          <w:b/>
        </w:rPr>
        <w:t xml:space="preserve">Explanation: </w:t>
      </w:r>
      <w:r>
        <w:t>Jesus teaches believers to ask that God's reign and will be done on earth. This confronts the self-centered instinct to use prayer only to secure private plans.</w:t>
      </w:r>
    </w:p>
    <w:p>
      <w:pPr>
        <w:spacing w:after="60"/>
      </w:pPr>
      <w:r>
        <w:rPr>
          <w:b/>
        </w:rPr>
        <w:t xml:space="preserve">Hymn / setting connection: </w:t>
      </w:r>
      <w:r>
        <w:t>The movement from God's name to God's kingdom gives the prayer its vertical direction.</w:t>
      </w:r>
    </w:p>
    <w:p>
      <w:pPr>
        <w:spacing w:after="60"/>
      </w:pPr>
      <w:r>
        <w:rPr>
          <w:b/>
        </w:rPr>
        <w:t xml:space="preserve">Biblical support: </w:t>
      </w:r>
      <w:r>
        <w:t>Matthew 6:10</w:t>
      </w:r>
    </w:p>
    <w:p>
      <w:pPr>
        <w:spacing w:after="60"/>
      </w:pPr>
      <w:r>
        <w:rPr>
          <w:b/>
        </w:rPr>
        <w:t xml:space="preserve">Illustration idea: </w:t>
      </w:r>
      <w:r>
        <w:t>A compass does not remove the journey, but it orients every step toward the right destination.</w:t>
      </w:r>
    </w:p>
    <w:p>
      <w:pPr>
        <w:spacing w:after="60"/>
      </w:pPr>
      <w:r>
        <w:rPr>
          <w:b/>
        </w:rPr>
        <w:t xml:space="preserve">Application: </w:t>
      </w:r>
      <w:r>
        <w:t>Ask where your desires, household, church, and decisions need to come under God's will.</w:t>
      </w:r>
    </w:p>
    <w:p>
      <w:pPr>
        <w:pStyle w:val="Heading1"/>
      </w:pPr>
      <w:r>
        <w:t>3. Prayer brings ordinary need under daily dependence.</w:t>
      </w:r>
    </w:p>
    <w:p>
      <w:pPr>
        <w:spacing w:after="60"/>
      </w:pPr>
      <w:r>
        <w:rPr>
          <w:b/>
        </w:rPr>
        <w:t xml:space="preserve">Explanation: </w:t>
      </w:r>
      <w:r>
        <w:t>Daily bread teaches trust for the next necessary provision. It dignifies ordinary needs while refusing anxious self-sufficiency.</w:t>
      </w:r>
    </w:p>
    <w:p>
      <w:pPr>
        <w:spacing w:after="60"/>
      </w:pPr>
      <w:r>
        <w:rPr>
          <w:b/>
        </w:rPr>
        <w:t xml:space="preserve">Hymn / setting connection: </w:t>
      </w:r>
      <w:r>
        <w:t>The sung prayer lets the congregation confess dependence together: “give us,” not only “give me.”</w:t>
      </w:r>
    </w:p>
    <w:p>
      <w:pPr>
        <w:spacing w:after="60"/>
      </w:pPr>
      <w:r>
        <w:rPr>
          <w:b/>
        </w:rPr>
        <w:t xml:space="preserve">Biblical support: </w:t>
      </w:r>
      <w:r>
        <w:t>Matthew 6:11; Colossians 3:16-17 as a worship-life parallel from the source themes</w:t>
      </w:r>
    </w:p>
    <w:p>
      <w:pPr>
        <w:spacing w:after="60"/>
      </w:pPr>
      <w:r>
        <w:rPr>
          <w:b/>
        </w:rPr>
        <w:t xml:space="preserve">Illustration idea: </w:t>
      </w:r>
      <w:r>
        <w:t>A family table reminds us that every meal is both ordinary and received.</w:t>
      </w:r>
    </w:p>
    <w:p>
      <w:pPr>
        <w:spacing w:after="60"/>
      </w:pPr>
      <w:r>
        <w:rPr>
          <w:b/>
        </w:rPr>
        <w:t xml:space="preserve">Application: </w:t>
      </w:r>
      <w:r>
        <w:t>Pray for the needs of others as well as your own: the hungry, the unemployed, the weak, and the overlooked.</w:t>
      </w:r>
    </w:p>
    <w:p>
      <w:pPr>
        <w:pStyle w:val="Heading1"/>
      </w:pPr>
      <w:r>
        <w:t>4. Prayer forms a forgiven and forgiving people.</w:t>
      </w:r>
    </w:p>
    <w:p>
      <w:pPr>
        <w:spacing w:after="60"/>
      </w:pPr>
      <w:r>
        <w:rPr>
          <w:b/>
        </w:rPr>
        <w:t xml:space="preserve">Explanation: </w:t>
      </w:r>
      <w:r>
        <w:t>The petition for forgiveness is inseparable from the practice of forgiveness. Jesus forms a community that receives mercy and extends it.</w:t>
      </w:r>
    </w:p>
    <w:p>
      <w:pPr>
        <w:spacing w:after="60"/>
      </w:pPr>
      <w:r>
        <w:rPr>
          <w:b/>
        </w:rPr>
        <w:t xml:space="preserve">Hymn / setting connection: </w:t>
      </w:r>
      <w:r>
        <w:t>The prayer's plural language makes reconciliation a congregational issue, not merely a private feeling.</w:t>
      </w:r>
    </w:p>
    <w:p>
      <w:pPr>
        <w:spacing w:after="60"/>
      </w:pPr>
      <w:r>
        <w:rPr>
          <w:b/>
        </w:rPr>
        <w:t xml:space="preserve">Biblical support: </w:t>
      </w:r>
      <w:r>
        <w:t>Matthew 6:12; Matthew 6:14-15 may be referenced as immediate context</w:t>
      </w:r>
    </w:p>
    <w:p>
      <w:pPr>
        <w:spacing w:after="60"/>
      </w:pPr>
      <w:r>
        <w:rPr>
          <w:b/>
        </w:rPr>
        <w:t xml:space="preserve">Illustration idea: </w:t>
      </w:r>
      <w:r>
        <w:t>A cancelled debt that is kept alive in the heart still controls the debtor and the creditor.</w:t>
      </w:r>
    </w:p>
    <w:p>
      <w:pPr>
        <w:spacing w:after="60"/>
      </w:pPr>
      <w:r>
        <w:rPr>
          <w:b/>
        </w:rPr>
        <w:t xml:space="preserve">Application: </w:t>
      </w:r>
      <w:r>
        <w:t>Name places where mercy received from God must become mercy extended to others.</w:t>
      </w:r>
    </w:p>
    <w:p>
      <w:pPr>
        <w:pStyle w:val="Heading1"/>
      </w:pPr>
      <w:r>
        <w:t>5. Prayer ends in dependence on God's power and glory.</w:t>
      </w:r>
    </w:p>
    <w:p>
      <w:pPr>
        <w:spacing w:after="60"/>
      </w:pPr>
      <w:r>
        <w:rPr>
          <w:b/>
        </w:rPr>
        <w:t xml:space="preserve">Explanation: </w:t>
      </w:r>
      <w:r>
        <w:t>Temptation and evil are real, so believers ask for guidance and rescue. The doxology turns fear into worship: the kingdom, power, and glory belong to God.</w:t>
      </w:r>
    </w:p>
    <w:p>
      <w:pPr>
        <w:spacing w:after="60"/>
      </w:pPr>
      <w:r>
        <w:rPr>
          <w:b/>
        </w:rPr>
        <w:t xml:space="preserve">Hymn / setting connection: </w:t>
      </w:r>
      <w:r>
        <w:t>The closing returns the congregation from danger to praise.</w:t>
      </w:r>
    </w:p>
    <w:p>
      <w:pPr>
        <w:spacing w:after="60"/>
      </w:pPr>
      <w:r>
        <w:rPr>
          <w:b/>
        </w:rPr>
        <w:t xml:space="preserve">Biblical support: </w:t>
      </w:r>
      <w:r>
        <w:t>Matthew 6:13; 1 Chronicles 29:11-13</w:t>
      </w:r>
    </w:p>
    <w:p>
      <w:pPr>
        <w:spacing w:after="60"/>
      </w:pPr>
      <w:r>
        <w:rPr>
          <w:b/>
        </w:rPr>
        <w:t xml:space="preserve">Illustration idea: </w:t>
      </w:r>
      <w:r>
        <w:t>A storm shelter matters because danger is real; praise matters because God is greater than the danger.</w:t>
      </w:r>
    </w:p>
    <w:p>
      <w:pPr>
        <w:spacing w:after="60"/>
      </w:pPr>
      <w:r>
        <w:rPr>
          <w:b/>
        </w:rPr>
        <w:t xml:space="preserve">Application: </w:t>
      </w:r>
      <w:r>
        <w:t>Pray honestly against sin and evil, and end by entrusting the final word to God's glory.</w:t>
      </w:r>
    </w:p>
    <w:p>
      <w:pPr>
        <w:pStyle w:val="Heading1"/>
      </w:pPr>
      <w:r>
        <w:t>Christ-Centered Connection</w:t>
      </w:r>
    </w:p>
    <w:p>
      <w:r>
        <w:t>The Lord's Prayer comes from Jesus himself. He is the Son who perfectly hallows the Father's name, seeks the Father's will, gives the bread of life, secures forgiveness through the cross, conquers evil, and brings his people into the Father's kingdom. We do not pray as spiritual achievers; we pray as disciples taught, redeemed, and led by Christ.</w:t>
      </w:r>
    </w:p>
    <w:p>
      <w:pPr>
        <w:pStyle w:val="Heading1"/>
      </w:pPr>
      <w:r>
        <w:t>Pastoral Applications</w:t>
      </w:r>
    </w:p>
    <w:tbl>
      <w:tblPr>
        <w:tblStyle w:val="TableGrid"/>
        <w:tblW w:type="auto" w:w="0"/>
        <w:jc w:val="center"/>
        <w:tblLook w:firstColumn="1" w:firstRow="1" w:lastColumn="0" w:lastRow="0" w:noHBand="0" w:noVBand="1" w:val="04A0"/>
      </w:tblPr>
      <w:tblGrid>
        <w:gridCol w:w="5184"/>
        <w:gridCol w:w="5184"/>
      </w:tblGrid>
      <w:tr>
        <w:tc>
          <w:tcPr>
            <w:tcW w:type="dxa" w:w="5184"/>
            <w:shd w:fill="F5EFE7"/>
            <w:vAlign w:val="top"/>
          </w:tcPr>
          <w:p>
            <w:pPr>
              <w:spacing w:after="40"/>
            </w:pPr>
            <w:r/>
            <w:r>
              <w:rPr>
                <w:rFonts w:ascii="Aptos" w:hAnsi="Aptos"/>
                <w:b/>
                <w:sz w:val="17"/>
              </w:rPr>
              <w:t>Listener</w:t>
            </w:r>
          </w:p>
        </w:tc>
        <w:tc>
          <w:tcPr>
            <w:tcW w:type="dxa" w:w="5184"/>
            <w:shd w:fill="F5EFE7"/>
            <w:vAlign w:val="top"/>
          </w:tcPr>
          <w:p>
            <w:pPr>
              <w:spacing w:after="40"/>
            </w:pPr>
            <w:r/>
            <w:r>
              <w:rPr>
                <w:rFonts w:ascii="Aptos" w:hAnsi="Aptos"/>
                <w:b/>
                <w:sz w:val="17"/>
              </w:rPr>
              <w:t>Pastoral word</w:t>
            </w:r>
          </w:p>
        </w:tc>
      </w:tr>
      <w:tr>
        <w:tc>
          <w:tcPr>
            <w:tcW w:type="dxa" w:w="5184"/>
            <w:vAlign w:val="top"/>
          </w:tcPr>
          <w:p>
            <w:pPr>
              <w:spacing w:after="40"/>
            </w:pPr>
            <w:r/>
            <w:r>
              <w:rPr>
                <w:rFonts w:ascii="Aptos" w:hAnsi="Aptos"/>
                <w:b w:val="0"/>
                <w:sz w:val="17"/>
              </w:rPr>
              <w:t>Anxious</w:t>
            </w:r>
          </w:p>
        </w:tc>
        <w:tc>
          <w:tcPr>
            <w:tcW w:type="dxa" w:w="5184"/>
            <w:vAlign w:val="top"/>
          </w:tcPr>
          <w:p>
            <w:pPr>
              <w:spacing w:after="40"/>
            </w:pPr>
            <w:r/>
            <w:r>
              <w:rPr>
                <w:rFonts w:ascii="Aptos" w:hAnsi="Aptos"/>
                <w:b w:val="0"/>
                <w:sz w:val="17"/>
              </w:rPr>
              <w:t>Your daily bread is not beneath the Father's care.</w:t>
            </w:r>
          </w:p>
        </w:tc>
      </w:tr>
      <w:tr>
        <w:tc>
          <w:tcPr>
            <w:tcW w:type="dxa" w:w="5184"/>
            <w:vAlign w:val="top"/>
          </w:tcPr>
          <w:p>
            <w:pPr>
              <w:spacing w:after="40"/>
            </w:pPr>
            <w:r/>
            <w:r>
              <w:rPr>
                <w:rFonts w:ascii="Aptos" w:hAnsi="Aptos"/>
                <w:b w:val="0"/>
                <w:sz w:val="17"/>
              </w:rPr>
              <w:t>Grieving</w:t>
            </w:r>
          </w:p>
        </w:tc>
        <w:tc>
          <w:tcPr>
            <w:tcW w:type="dxa" w:w="5184"/>
            <w:vAlign w:val="top"/>
          </w:tcPr>
          <w:p>
            <w:pPr>
              <w:spacing w:after="40"/>
            </w:pPr>
            <w:r/>
            <w:r>
              <w:rPr>
                <w:rFonts w:ascii="Aptos" w:hAnsi="Aptos"/>
                <w:b w:val="0"/>
                <w:sz w:val="17"/>
              </w:rPr>
              <w:t>The Father in heaven hears prayer from earth's pain.</w:t>
            </w:r>
          </w:p>
        </w:tc>
      </w:tr>
      <w:tr>
        <w:tc>
          <w:tcPr>
            <w:tcW w:type="dxa" w:w="5184"/>
            <w:vAlign w:val="top"/>
          </w:tcPr>
          <w:p>
            <w:pPr>
              <w:spacing w:after="40"/>
            </w:pPr>
            <w:r/>
            <w:r>
              <w:rPr>
                <w:rFonts w:ascii="Aptos" w:hAnsi="Aptos"/>
                <w:b w:val="0"/>
                <w:sz w:val="17"/>
              </w:rPr>
              <w:t>Doubting</w:t>
            </w:r>
          </w:p>
        </w:tc>
        <w:tc>
          <w:tcPr>
            <w:tcW w:type="dxa" w:w="5184"/>
            <w:vAlign w:val="top"/>
          </w:tcPr>
          <w:p>
            <w:pPr>
              <w:spacing w:after="40"/>
            </w:pPr>
            <w:r/>
            <w:r>
              <w:rPr>
                <w:rFonts w:ascii="Aptos" w:hAnsi="Aptos"/>
                <w:b w:val="0"/>
                <w:sz w:val="17"/>
              </w:rPr>
              <w:t>Begin with the prayer Jesus gave, even when your own words fail.</w:t>
            </w:r>
          </w:p>
        </w:tc>
      </w:tr>
      <w:tr>
        <w:tc>
          <w:tcPr>
            <w:tcW w:type="dxa" w:w="5184"/>
            <w:vAlign w:val="top"/>
          </w:tcPr>
          <w:p>
            <w:pPr>
              <w:spacing w:after="40"/>
            </w:pPr>
            <w:r/>
            <w:r>
              <w:rPr>
                <w:rFonts w:ascii="Aptos" w:hAnsi="Aptos"/>
                <w:b w:val="0"/>
                <w:sz w:val="17"/>
              </w:rPr>
              <w:t>Serving</w:t>
            </w:r>
          </w:p>
        </w:tc>
        <w:tc>
          <w:tcPr>
            <w:tcW w:type="dxa" w:w="5184"/>
            <w:vAlign w:val="top"/>
          </w:tcPr>
          <w:p>
            <w:pPr>
              <w:spacing w:after="40"/>
            </w:pPr>
            <w:r/>
            <w:r>
              <w:rPr>
                <w:rFonts w:ascii="Aptos" w:hAnsi="Aptos"/>
                <w:b w:val="0"/>
                <w:sz w:val="17"/>
              </w:rPr>
              <w:t>Seek the kingdom before applause, success, or control.</w:t>
            </w:r>
          </w:p>
        </w:tc>
      </w:tr>
      <w:tr>
        <w:tc>
          <w:tcPr>
            <w:tcW w:type="dxa" w:w="5184"/>
            <w:vAlign w:val="top"/>
          </w:tcPr>
          <w:p>
            <w:pPr>
              <w:spacing w:after="40"/>
            </w:pPr>
            <w:r/>
            <w:r>
              <w:rPr>
                <w:rFonts w:ascii="Aptos" w:hAnsi="Aptos"/>
                <w:b w:val="0"/>
                <w:sz w:val="17"/>
              </w:rPr>
              <w:t>Suffering</w:t>
            </w:r>
          </w:p>
        </w:tc>
        <w:tc>
          <w:tcPr>
            <w:tcW w:type="dxa" w:w="5184"/>
            <w:vAlign w:val="top"/>
          </w:tcPr>
          <w:p>
            <w:pPr>
              <w:spacing w:after="40"/>
            </w:pPr>
            <w:r/>
            <w:r>
              <w:rPr>
                <w:rFonts w:ascii="Aptos" w:hAnsi="Aptos"/>
                <w:b w:val="0"/>
                <w:sz w:val="17"/>
              </w:rPr>
              <w:t>Ask for deliverance from evil without shame or denial.</w:t>
            </w:r>
          </w:p>
        </w:tc>
      </w:tr>
      <w:tr>
        <w:tc>
          <w:tcPr>
            <w:tcW w:type="dxa" w:w="5184"/>
            <w:vAlign w:val="top"/>
          </w:tcPr>
          <w:p>
            <w:pPr>
              <w:spacing w:after="40"/>
            </w:pPr>
            <w:r/>
            <w:r>
              <w:rPr>
                <w:rFonts w:ascii="Aptos" w:hAnsi="Aptos"/>
                <w:b w:val="0"/>
                <w:sz w:val="17"/>
              </w:rPr>
              <w:t>Worshiping</w:t>
            </w:r>
          </w:p>
        </w:tc>
        <w:tc>
          <w:tcPr>
            <w:tcW w:type="dxa" w:w="5184"/>
            <w:vAlign w:val="top"/>
          </w:tcPr>
          <w:p>
            <w:pPr>
              <w:spacing w:after="40"/>
            </w:pPr>
            <w:r/>
            <w:r>
              <w:rPr>
                <w:rFonts w:ascii="Aptos" w:hAnsi="Aptos"/>
                <w:b w:val="0"/>
                <w:sz w:val="17"/>
              </w:rPr>
              <w:t>End where the prayer ends: kingdom, power, and glory belong to God.</w:t>
            </w:r>
          </w:p>
        </w:tc>
      </w:tr>
    </w:tbl>
    <w:p>
      <w:pPr>
        <w:pStyle w:val="Heading1"/>
      </w:pPr>
      <w:r>
        <w:t>Conclusion and Call to Response</w:t>
      </w:r>
    </w:p>
    <w:p>
      <w:r>
        <w:t>Invite the congregation to receive the Lord's Prayer not as a formula to rush through but as a pattern that reshapes worship and life. Call them to pray it slowly, obey it concretely, forgive honestly, depend humbly, and trust the Father through Christ.</w:t>
      </w:r>
    </w:p>
    <w:p>
      <w:pPr>
        <w:pStyle w:val="Heading1"/>
      </w:pPr>
      <w:r>
        <w:t>Suggested Closing Prayer</w:t>
      </w:r>
    </w:p>
    <w:p>
      <w:r>
        <w:t>Our Father in heaven, teach us to honor your name, seek your kingdom, trust your provision, receive and extend forgiveness, resist evil, and live for your glory through Jesus Christ our Lord. Amen.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35C48"/>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58362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58362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58362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