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5B1E25"/>
          <w:sz w:val="40"/>
        </w:rPr>
        <w:t>The Strife Is O’er, the Battle Done</w:t>
      </w:r>
    </w:p>
    <w:p>
      <w:pPr>
        <w:jc w:val="center"/>
      </w:pPr>
      <w:r>
        <w:rPr>
          <w:rFonts w:ascii="Aptos" w:hAnsi="Aptos"/>
          <w:color w:val="605248"/>
          <w:sz w:val="21"/>
        </w:rPr>
        <w:t>Sermon Outline</w:t>
      </w:r>
    </w:p>
    <w:p>
      <w:pPr>
        <w:jc w:val="center"/>
      </w:pPr>
      <w:r>
        <w:rPr>
          <w:color w:val="B87D32"/>
          <w:sz w:val="18"/>
        </w:rPr>
        <w:t>——————————————————————————————————</w:t>
      </w:r>
    </w:p>
    <w:p>
      <w:pPr>
        <w:pStyle w:val="Heading2"/>
        <w:spacing w:before="160" w:after="60"/>
      </w:pPr>
      <w:r>
        <w:t>Sermon Title</w:t>
      </w:r>
    </w:p>
    <w:p>
      <w:r>
        <w:t>The Battle Done, the Victory Won</w:t>
      </w:r>
    </w:p>
    <w:p>
      <w:pPr>
        <w:pStyle w:val="Heading2"/>
        <w:spacing w:before="160" w:after="60"/>
      </w:pPr>
      <w:r>
        <w:t>Main Text and Supporting Scriptures</w:t>
      </w:r>
    </w:p>
    <w:p>
      <w:pPr>
        <w:pStyle w:val="ListBullet"/>
        <w:spacing w:after="40"/>
      </w:pPr>
      <w:r>
        <w:t>Main text: 1 Corinthians 15:54-57</w:t>
      </w:r>
    </w:p>
    <w:p>
      <w:pPr>
        <w:pStyle w:val="ListBullet"/>
        <w:spacing w:after="40"/>
      </w:pPr>
      <w:r>
        <w:t>Supporting Scriptures: Matthew 28:5-6; Romans 6:9; Revelation 1:18; Colossians 2:15; Isaiah 53:5</w:t>
      </w:r>
    </w:p>
    <w:p>
      <w:pPr>
        <w:pStyle w:val="Heading2"/>
        <w:spacing w:before="160" w:after="60"/>
      </w:pPr>
      <w:r>
        <w:t>Big Idea</w:t>
      </w:r>
    </w:p>
    <w:p>
      <w:r>
        <w:t>Because Jesus Christ has risen from the dead, death has lost its final claim and the church can live, grieve, serve, and sing with resurrection hope.</w:t>
      </w:r>
    </w:p>
    <w:p>
      <w:pPr>
        <w:pStyle w:val="Heading2"/>
        <w:spacing w:before="160" w:after="60"/>
      </w:pPr>
      <w:r>
        <w:t>Introduction</w:t>
      </w:r>
    </w:p>
    <w:p>
      <w:r>
        <w:t>Every human life eventually meets an enemy it cannot defeat by strength, intelligence, wealth, or careful planning. Death reaches into families, churches, hospitals, cemeteries, and quiet memories. Easter does not avoid that enemy. Easter announces that Jesus Christ met it, passed through it, and rose victorious over it.</w:t>
      </w:r>
    </w:p>
    <w:p>
      <w:r>
        <w:t>The hymn gives the church a compact Easter sermon: the battle is finished, death is defeated, the gates are opened, and the wounded Savior frees his people to sing.</w:t>
      </w:r>
    </w:p>
    <w:p>
      <w:pPr>
        <w:pStyle w:val="Heading2"/>
        <w:spacing w:before="160" w:after="60"/>
      </w:pPr>
      <w:r>
        <w:t>I. The Resurrection Announces a Finished Victory</w:t>
      </w:r>
    </w:p>
    <w:p>
      <w:pPr>
        <w:spacing w:after="40"/>
      </w:pPr>
      <w:r>
        <w:rPr>
          <w:b/>
          <w:color w:val="5B1E25"/>
        </w:rPr>
        <w:t xml:space="preserve">Explanation: </w:t>
      </w:r>
      <w:r>
        <w:t>Paul does not say that death might someday be weakened. He proclaims that death is swallowed up in victory through Jesus Christ.</w:t>
      </w:r>
    </w:p>
    <w:p>
      <w:pPr>
        <w:spacing w:after="40"/>
      </w:pPr>
      <w:r>
        <w:rPr>
          <w:b/>
          <w:color w:val="5B1E25"/>
        </w:rPr>
        <w:t xml:space="preserve">Hymn connection: </w:t>
      </w:r>
      <w:r>
        <w:t>The hymn opens with the battle already done. Its first note is not suspense but proclamation.</w:t>
      </w:r>
    </w:p>
    <w:p>
      <w:pPr>
        <w:spacing w:after="40"/>
      </w:pPr>
      <w:r>
        <w:rPr>
          <w:b/>
          <w:color w:val="5B1E25"/>
        </w:rPr>
        <w:t xml:space="preserve">Biblical support: </w:t>
      </w:r>
      <w:r>
        <w:t>1 Corinthians 15:54-57</w:t>
      </w:r>
    </w:p>
    <w:p>
      <w:pPr>
        <w:spacing w:after="40"/>
      </w:pPr>
      <w:r>
        <w:rPr>
          <w:b/>
          <w:color w:val="5B1E25"/>
        </w:rPr>
        <w:t xml:space="preserve">Illustration idea: </w:t>
      </w:r>
      <w:r>
        <w:t>A courtroom verdict after a long trial: the decision changes everything even before every consequence is fully felt.</w:t>
      </w:r>
    </w:p>
    <w:p>
      <w:pPr>
        <w:spacing w:after="40"/>
      </w:pPr>
      <w:r>
        <w:rPr>
          <w:b/>
          <w:color w:val="5B1E25"/>
        </w:rPr>
        <w:t xml:space="preserve">Application: </w:t>
      </w:r>
      <w:r>
        <w:t>Preach to the anxious: your hope does not rest on your ability to win every struggle. It rests on Christ’s victory.</w:t>
      </w:r>
    </w:p>
    <w:p>
      <w:pPr>
        <w:pStyle w:val="Heading2"/>
        <w:spacing w:before="160" w:after="60"/>
      </w:pPr>
      <w:r>
        <w:t>II. The Cross and Empty Tomb Defeat Death’s Claim</w:t>
      </w:r>
    </w:p>
    <w:p>
      <w:pPr>
        <w:spacing w:after="40"/>
      </w:pPr>
      <w:r>
        <w:rPr>
          <w:b/>
          <w:color w:val="5B1E25"/>
        </w:rPr>
        <w:t xml:space="preserve">Explanation: </w:t>
      </w:r>
      <w:r>
        <w:t>The resurrection does not erase the cross; it reveals what the cross accomplished. The wounded Christ is the risen Lord.</w:t>
      </w:r>
    </w:p>
    <w:p>
      <w:pPr>
        <w:spacing w:after="40"/>
      </w:pPr>
      <w:r>
        <w:rPr>
          <w:b/>
          <w:color w:val="5B1E25"/>
        </w:rPr>
        <w:t xml:space="preserve">Hymn connection: </w:t>
      </w:r>
      <w:r>
        <w:t>The hymn moves from battle language to the wounds of Christ, joining Good Friday and Easter in one gospel hope.</w:t>
      </w:r>
    </w:p>
    <w:p>
      <w:pPr>
        <w:spacing w:after="40"/>
      </w:pPr>
      <w:r>
        <w:rPr>
          <w:b/>
          <w:color w:val="5B1E25"/>
        </w:rPr>
        <w:t xml:space="preserve">Biblical support: </w:t>
      </w:r>
      <w:r>
        <w:t>Isaiah 53:5; Romans 6:9</w:t>
      </w:r>
    </w:p>
    <w:p>
      <w:pPr>
        <w:spacing w:after="40"/>
      </w:pPr>
      <w:r>
        <w:rPr>
          <w:b/>
          <w:color w:val="5B1E25"/>
        </w:rPr>
        <w:t xml:space="preserve">Illustration idea: </w:t>
      </w:r>
      <w:r>
        <w:t>A scar can become a testimony: it says a wound was real, but it did not have the final word.</w:t>
      </w:r>
    </w:p>
    <w:p>
      <w:pPr>
        <w:spacing w:after="40"/>
      </w:pPr>
      <w:r>
        <w:rPr>
          <w:b/>
          <w:color w:val="5B1E25"/>
        </w:rPr>
        <w:t xml:space="preserve">Application: </w:t>
      </w:r>
      <w:r>
        <w:t>Preach to the grieving: Christian hope does not deny pain. It confesses that Christ has gone deeper than death and risen beyond it.</w:t>
      </w:r>
    </w:p>
    <w:p>
      <w:pPr>
        <w:pStyle w:val="Heading2"/>
        <w:spacing w:before="160" w:after="60"/>
      </w:pPr>
      <w:r>
        <w:t>III. The Risen Christ Opens the Way to Life</w:t>
      </w:r>
    </w:p>
    <w:p>
      <w:pPr>
        <w:spacing w:after="40"/>
      </w:pPr>
      <w:r>
        <w:rPr>
          <w:b/>
          <w:color w:val="5B1E25"/>
        </w:rPr>
        <w:t xml:space="preserve">Explanation: </w:t>
      </w:r>
      <w:r>
        <w:t>Revelation presents Jesus as the Living One who holds authority over Death and Hades. The locked place is not locked to him.</w:t>
      </w:r>
    </w:p>
    <w:p>
      <w:pPr>
        <w:spacing w:after="40"/>
      </w:pPr>
      <w:r>
        <w:rPr>
          <w:b/>
          <w:color w:val="5B1E25"/>
        </w:rPr>
        <w:t xml:space="preserve">Hymn connection: </w:t>
      </w:r>
      <w:r>
        <w:t>The hymn’s gate imagery gives the congregation a vivid picture of liberation and access.</w:t>
      </w:r>
    </w:p>
    <w:p>
      <w:pPr>
        <w:spacing w:after="40"/>
      </w:pPr>
      <w:r>
        <w:rPr>
          <w:b/>
          <w:color w:val="5B1E25"/>
        </w:rPr>
        <w:t xml:space="preserve">Biblical support: </w:t>
      </w:r>
      <w:r>
        <w:t>Revelation 1:18; Matthew 28:5-6</w:t>
      </w:r>
    </w:p>
    <w:p>
      <w:pPr>
        <w:spacing w:after="40"/>
      </w:pPr>
      <w:r>
        <w:rPr>
          <w:b/>
          <w:color w:val="5B1E25"/>
        </w:rPr>
        <w:t xml:space="preserve">Illustration idea: </w:t>
      </w:r>
      <w:r>
        <w:t>A locked door that no one can open from the inside is opened by one who has the key.</w:t>
      </w:r>
    </w:p>
    <w:p>
      <w:pPr>
        <w:spacing w:after="40"/>
      </w:pPr>
      <w:r>
        <w:rPr>
          <w:b/>
          <w:color w:val="5B1E25"/>
        </w:rPr>
        <w:t xml:space="preserve">Application: </w:t>
      </w:r>
      <w:r>
        <w:t>Preach to the hopeless: no grave, failure, shame, or fear outranks the authority of the risen Christ.</w:t>
      </w:r>
    </w:p>
    <w:p>
      <w:pPr>
        <w:pStyle w:val="Heading2"/>
        <w:spacing w:before="160" w:after="60"/>
      </w:pPr>
      <w:r>
        <w:t>IV. Resurrection Praise Forms Resurrection People</w:t>
      </w:r>
    </w:p>
    <w:p>
      <w:pPr>
        <w:spacing w:after="40"/>
      </w:pPr>
      <w:r>
        <w:rPr>
          <w:b/>
          <w:color w:val="5B1E25"/>
        </w:rPr>
        <w:t xml:space="preserve">Explanation: </w:t>
      </w:r>
      <w:r>
        <w:t>The repeated Alleluia teaches the church to answer the gospel with corporate, embodied praise.</w:t>
      </w:r>
    </w:p>
    <w:p>
      <w:pPr>
        <w:spacing w:after="40"/>
      </w:pPr>
      <w:r>
        <w:rPr>
          <w:b/>
          <w:color w:val="5B1E25"/>
        </w:rPr>
        <w:t xml:space="preserve">Hymn connection: </w:t>
      </w:r>
      <w:r>
        <w:t>The refrain is a confession. The congregation sings because Christ’s victory is true even when circumstances are hard.</w:t>
      </w:r>
    </w:p>
    <w:p>
      <w:pPr>
        <w:spacing w:after="40"/>
      </w:pPr>
      <w:r>
        <w:rPr>
          <w:b/>
          <w:color w:val="5B1E25"/>
        </w:rPr>
        <w:t xml:space="preserve">Biblical support: </w:t>
      </w:r>
      <w:r>
        <w:t>Colossians 2:15; 1 Corinthians 15:57</w:t>
      </w:r>
    </w:p>
    <w:p>
      <w:pPr>
        <w:spacing w:after="40"/>
      </w:pPr>
      <w:r>
        <w:rPr>
          <w:b/>
          <w:color w:val="5B1E25"/>
        </w:rPr>
        <w:t xml:space="preserve">Illustration idea: </w:t>
      </w:r>
      <w:r>
        <w:t>A national anthem sung after deliverance is not background music; it is a public declaration of belonging and gratitude.</w:t>
      </w:r>
    </w:p>
    <w:p>
      <w:pPr>
        <w:spacing w:after="40"/>
      </w:pPr>
      <w:r>
        <w:rPr>
          <w:b/>
          <w:color w:val="5B1E25"/>
        </w:rPr>
        <w:t xml:space="preserve">Application: </w:t>
      </w:r>
      <w:r>
        <w:t>Preach to the worshiping church: sing Easter truth until it trains your fear, grief, courage, and service.</w:t>
      </w:r>
    </w:p>
    <w:p>
      <w:pPr>
        <w:pStyle w:val="Heading2"/>
        <w:spacing w:before="160" w:after="60"/>
      </w:pPr>
      <w:r>
        <w:t>Gospel Connection</w:t>
      </w:r>
    </w:p>
    <w:p>
      <w:r>
        <w:t>The gospel is not merely that Jesus gives comfort after death. The gospel is that the crucified Jesus has risen bodily, has conquered the enemies that held sinners captive, and now gives life to all who belong to him. The victory is received by faith, not earned by religious achievement.</w:t>
      </w:r>
    </w:p>
    <w:p>
      <w:pPr>
        <w:pStyle w:val="Heading2"/>
        <w:spacing w:before="160" w:after="60"/>
      </w:pPr>
      <w:r>
        <w:t>Pastoral Applications</w:t>
      </w:r>
    </w:p>
    <w:tbl>
      <w:tblPr>
        <w:tblStyle w:val="TableGrid"/>
        <w:tblW w:type="auto" w:w="0"/>
        <w:jc w:val="center"/>
        <w:tblLook w:firstColumn="1" w:firstRow="1" w:lastColumn="0" w:lastRow="0" w:noHBand="0" w:noVBand="1" w:val="04A0"/>
      </w:tblPr>
      <w:tblGrid>
        <w:gridCol w:w="5227"/>
        <w:gridCol w:w="5227"/>
      </w:tblGrid>
      <w:tr>
        <w:tc>
          <w:tcPr>
            <w:tcW w:type="dxa" w:w="5227"/>
            <w:shd w:fill="5B1E25"/>
          </w:tcPr>
          <w:p>
            <w:pPr>
              <w:spacing w:after="0"/>
            </w:pPr>
            <w:r/>
            <w:r>
              <w:rPr>
                <w:rFonts w:ascii="Aptos" w:hAnsi="Aptos"/>
                <w:b/>
                <w:color w:val="FFFFFF"/>
                <w:sz w:val="18"/>
              </w:rPr>
              <w:t>Listener</w:t>
            </w:r>
          </w:p>
        </w:tc>
        <w:tc>
          <w:tcPr>
            <w:tcW w:type="dxa" w:w="5227"/>
            <w:shd w:fill="5B1E25"/>
          </w:tcPr>
          <w:p>
            <w:pPr>
              <w:spacing w:after="0"/>
            </w:pPr>
            <w:r/>
            <w:r>
              <w:rPr>
                <w:rFonts w:ascii="Aptos" w:hAnsi="Aptos"/>
                <w:b/>
                <w:color w:val="FFFFFF"/>
                <w:sz w:val="18"/>
              </w:rPr>
              <w:t>Word to Preach</w:t>
            </w:r>
          </w:p>
        </w:tc>
      </w:tr>
      <w:tr>
        <w:tc>
          <w:tcPr>
            <w:tcW w:type="dxa" w:w="5227"/>
          </w:tcPr>
          <w:p>
            <w:pPr>
              <w:spacing w:after="0"/>
            </w:pPr>
            <w:r/>
            <w:r>
              <w:rPr>
                <w:rFonts w:ascii="Aptos" w:hAnsi="Aptos"/>
                <w:b w:val="0"/>
                <w:color w:val="221916"/>
                <w:sz w:val="18"/>
              </w:rPr>
              <w:t>The anxious</w:t>
            </w:r>
          </w:p>
        </w:tc>
        <w:tc>
          <w:tcPr>
            <w:tcW w:type="dxa" w:w="5227"/>
          </w:tcPr>
          <w:p>
            <w:pPr>
              <w:spacing w:after="0"/>
            </w:pPr>
            <w:r/>
            <w:r>
              <w:rPr>
                <w:rFonts w:ascii="Aptos" w:hAnsi="Aptos"/>
                <w:b w:val="0"/>
                <w:color w:val="221916"/>
                <w:sz w:val="18"/>
              </w:rPr>
              <w:t>Christ’s victory is stronger than the future you cannot control.</w:t>
            </w:r>
          </w:p>
        </w:tc>
      </w:tr>
      <w:tr>
        <w:tc>
          <w:tcPr>
            <w:tcW w:type="dxa" w:w="5227"/>
          </w:tcPr>
          <w:p>
            <w:pPr>
              <w:spacing w:after="0"/>
            </w:pPr>
            <w:r/>
            <w:r>
              <w:rPr>
                <w:rFonts w:ascii="Aptos" w:hAnsi="Aptos"/>
                <w:b w:val="0"/>
                <w:color w:val="221916"/>
                <w:sz w:val="18"/>
              </w:rPr>
              <w:t>The grieving</w:t>
            </w:r>
          </w:p>
        </w:tc>
        <w:tc>
          <w:tcPr>
            <w:tcW w:type="dxa" w:w="5227"/>
          </w:tcPr>
          <w:p>
            <w:pPr>
              <w:spacing w:after="0"/>
            </w:pPr>
            <w:r/>
            <w:r>
              <w:rPr>
                <w:rFonts w:ascii="Aptos" w:hAnsi="Aptos"/>
                <w:b w:val="0"/>
                <w:color w:val="221916"/>
                <w:sz w:val="18"/>
              </w:rPr>
              <w:t>Your sorrow is real, and the risen Lord is real with you.</w:t>
            </w:r>
          </w:p>
        </w:tc>
      </w:tr>
      <w:tr>
        <w:tc>
          <w:tcPr>
            <w:tcW w:type="dxa" w:w="5227"/>
          </w:tcPr>
          <w:p>
            <w:pPr>
              <w:spacing w:after="0"/>
            </w:pPr>
            <w:r/>
            <w:r>
              <w:rPr>
                <w:rFonts w:ascii="Aptos" w:hAnsi="Aptos"/>
                <w:b w:val="0"/>
                <w:color w:val="221916"/>
                <w:sz w:val="18"/>
              </w:rPr>
              <w:t>The doubting</w:t>
            </w:r>
          </w:p>
        </w:tc>
        <w:tc>
          <w:tcPr>
            <w:tcW w:type="dxa" w:w="5227"/>
          </w:tcPr>
          <w:p>
            <w:pPr>
              <w:spacing w:after="0"/>
            </w:pPr>
            <w:r/>
            <w:r>
              <w:rPr>
                <w:rFonts w:ascii="Aptos" w:hAnsi="Aptos"/>
                <w:b w:val="0"/>
                <w:color w:val="221916"/>
                <w:sz w:val="18"/>
              </w:rPr>
              <w:t>Easter faith rests on God’s act in Christ, not on emotional certainty.</w:t>
            </w:r>
          </w:p>
        </w:tc>
      </w:tr>
      <w:tr>
        <w:tc>
          <w:tcPr>
            <w:tcW w:type="dxa" w:w="5227"/>
          </w:tcPr>
          <w:p>
            <w:pPr>
              <w:spacing w:after="0"/>
            </w:pPr>
            <w:r/>
            <w:r>
              <w:rPr>
                <w:rFonts w:ascii="Aptos" w:hAnsi="Aptos"/>
                <w:b w:val="0"/>
                <w:color w:val="221916"/>
                <w:sz w:val="18"/>
              </w:rPr>
              <w:t>The weary servant</w:t>
            </w:r>
          </w:p>
        </w:tc>
        <w:tc>
          <w:tcPr>
            <w:tcW w:type="dxa" w:w="5227"/>
          </w:tcPr>
          <w:p>
            <w:pPr>
              <w:spacing w:after="0"/>
            </w:pPr>
            <w:r/>
            <w:r>
              <w:rPr>
                <w:rFonts w:ascii="Aptos" w:hAnsi="Aptos"/>
                <w:b w:val="0"/>
                <w:color w:val="221916"/>
                <w:sz w:val="18"/>
              </w:rPr>
              <w:t>Labor in the Lord is not empty because Christ is risen.</w:t>
            </w:r>
          </w:p>
        </w:tc>
      </w:tr>
      <w:tr>
        <w:tc>
          <w:tcPr>
            <w:tcW w:type="dxa" w:w="5227"/>
          </w:tcPr>
          <w:p>
            <w:pPr>
              <w:spacing w:after="0"/>
            </w:pPr>
            <w:r/>
            <w:r>
              <w:rPr>
                <w:rFonts w:ascii="Aptos" w:hAnsi="Aptos"/>
                <w:b w:val="0"/>
                <w:color w:val="221916"/>
                <w:sz w:val="18"/>
              </w:rPr>
              <w:t>The joyful worshiper</w:t>
            </w:r>
          </w:p>
        </w:tc>
        <w:tc>
          <w:tcPr>
            <w:tcW w:type="dxa" w:w="5227"/>
          </w:tcPr>
          <w:p>
            <w:pPr>
              <w:spacing w:after="0"/>
            </w:pPr>
            <w:r/>
            <w:r>
              <w:rPr>
                <w:rFonts w:ascii="Aptos" w:hAnsi="Aptos"/>
                <w:b w:val="0"/>
                <w:color w:val="221916"/>
                <w:sz w:val="18"/>
              </w:rPr>
              <w:t>Let praise become grateful public witness.</w:t>
            </w:r>
          </w:p>
        </w:tc>
      </w:tr>
    </w:tbl>
    <w:p>
      <w:pPr>
        <w:pStyle w:val="Heading2"/>
        <w:spacing w:before="160" w:after="60"/>
      </w:pPr>
      <w:r>
        <w:t>Conclusion and Call to Response</w:t>
      </w:r>
    </w:p>
    <w:p>
      <w:r>
        <w:t>The hymn does not ask the church to pretend that death is small. It calls the church to confess that Christ is greater. The battle is done because Jesus has risen. The victory belongs to God, and the church’s answer is faith, worship, courage, and Alleluia.</w:t>
      </w:r>
    </w:p>
    <w:p>
      <w:pPr>
        <w:pStyle w:val="ListBullet"/>
        <w:spacing w:after="40"/>
      </w:pPr>
      <w:r>
        <w:t>Call unbelievers to trust the risen Christ.</w:t>
      </w:r>
    </w:p>
    <w:p>
      <w:pPr>
        <w:pStyle w:val="ListBullet"/>
        <w:spacing w:after="40"/>
      </w:pPr>
      <w:r>
        <w:t>Call believers to bring their fear and grief under the promise of resurrection.</w:t>
      </w:r>
    </w:p>
    <w:p>
      <w:pPr>
        <w:pStyle w:val="ListBullet"/>
        <w:spacing w:after="40"/>
      </w:pPr>
      <w:r>
        <w:t>Call the church to sing and live as people whose hope is anchored in Christ’s victory.</w:t>
      </w:r>
    </w:p>
    <w:p>
      <w:pPr>
        <w:pStyle w:val="Heading2"/>
        <w:spacing w:before="160" w:after="60"/>
      </w:pPr>
      <w:r>
        <w:t>Suggested Closing Prayer</w:t>
      </w:r>
    </w:p>
    <w:p>
      <w:r>
        <w:t>Risen Christ, Living Lord, we praise you for the victory of life. Free us from the fear of death, heal us by your wounds, and make us faithful witnesses to your resurrection. Amen.</w:t>
      </w:r>
    </w:p>
    <w:p>
      <w:pPr>
        <w:spacing w:before="160"/>
        <w:jc w:val="center"/>
      </w:pPr>
      <w:r>
        <w:rPr>
          <w:color w:val="6E645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864"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E64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5B1E2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4B3427"/>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5B1E2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Strife Is O’er, the Battle Done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