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5B1E25"/>
          <w:sz w:val="40"/>
        </w:rPr>
        <w:t>The Strife Is O’er, the Battle Done</w:t>
      </w:r>
    </w:p>
    <w:p>
      <w:pPr>
        <w:jc w:val="center"/>
      </w:pPr>
      <w:r>
        <w:rPr>
          <w:rFonts w:ascii="Aptos" w:hAnsi="Aptos"/>
          <w:color w:val="605248"/>
          <w:sz w:val="21"/>
        </w:rPr>
        <w:t>Small Group Handout</w:t>
      </w:r>
    </w:p>
    <w:p>
      <w:pPr>
        <w:jc w:val="center"/>
      </w:pPr>
      <w:r>
        <w:rPr>
          <w:color w:val="B87D32"/>
          <w:sz w:val="18"/>
        </w:rPr>
        <w:t>——————————————————————————————————</w:t>
      </w:r>
    </w:p>
    <w:p>
      <w:pPr>
        <w:pStyle w:val="Heading2"/>
        <w:spacing w:before="160" w:after="60"/>
      </w:pPr>
      <w:r>
        <w:t>Purpose of the Study</w:t>
      </w:r>
    </w:p>
    <w:p>
      <w:r>
        <w:t>This study helps a group hear the hymn as an Easter confession: Christ has risen, death has lost its sting, and the church answers with courageous praise.</w:t>
      </w:r>
    </w:p>
    <w:p>
      <w:pPr>
        <w:pStyle w:val="Heading2"/>
        <w:spacing w:before="160" w:after="60"/>
      </w:pPr>
      <w:r>
        <w:t>Opening Reflection</w:t>
      </w:r>
    </w:p>
    <w:p>
      <w:pPr>
        <w:pStyle w:val="ListNumber"/>
        <w:spacing w:after="40"/>
      </w:pPr>
      <w:r>
        <w:t>When have you needed more than optimism—something strong enough to stand against fear or grief?</w:t>
      </w:r>
    </w:p>
    <w:p>
      <w:pPr>
        <w:pStyle w:val="ListNumber"/>
        <w:spacing w:after="40"/>
      </w:pPr>
      <w:r>
        <w:t>What words or songs have helped you confess hope when life felt heavy?</w:t>
      </w:r>
    </w:p>
    <w:p>
      <w:pPr>
        <w:pStyle w:val="ListNumber"/>
        <w:spacing w:after="40"/>
      </w:pPr>
      <w:r>
        <w:t>How does the word “victory” sound different when it is connected to the risen Christ?</w:t>
      </w:r>
    </w:p>
    <w:p>
      <w:pPr>
        <w:pStyle w:val="Heading2"/>
        <w:spacing w:before="160" w:after="60"/>
      </w:pPr>
      <w:r>
        <w:t>Brief Hymn Background</w:t>
      </w:r>
    </w:p>
    <w:p>
      <w:pPr>
        <w:pStyle w:val="ListBullet"/>
        <w:spacing w:after="40"/>
      </w:pPr>
      <w:r>
        <w:t>English text: Francis Pott, 1861, translating the Latin Easter hymn Finita iam sunt proelia.</w:t>
      </w:r>
    </w:p>
    <w:p>
      <w:pPr>
        <w:pStyle w:val="ListBullet"/>
        <w:spacing w:after="40"/>
      </w:pPr>
      <w:r>
        <w:t>Earlier printed trail: the Latin text is commonly linked with seventeenth-century collections, while some editors have suggested earlier roots.</w:t>
      </w:r>
    </w:p>
    <w:p>
      <w:pPr>
        <w:pStyle w:val="ListBullet"/>
        <w:spacing w:after="40"/>
      </w:pPr>
      <w:r>
        <w:t>Tune: VICTORY, adapted by William Henry Monk from music associated with Giovanni Pierluigi da Palestrina.</w:t>
      </w:r>
    </w:p>
    <w:p>
      <w:pPr>
        <w:pStyle w:val="ListBullet"/>
        <w:spacing w:after="40"/>
      </w:pPr>
      <w:r>
        <w:t>Church use: often sung at Easter and in services where resurrection hope is central.</w:t>
      </w:r>
    </w:p>
    <w:p>
      <w:pPr>
        <w:pStyle w:val="Heading2"/>
        <w:spacing w:before="160" w:after="60"/>
      </w:pPr>
      <w:r>
        <w:t>Scripture for Reading</w:t>
      </w:r>
    </w:p>
    <w:p>
      <w:r>
        <w:t>Primary text: 1 Corinthians 15:54-57. Paul declares that death is swallowed up in victory and that God gives victory through Jesus Christ.</w:t>
      </w:r>
    </w:p>
    <w:p>
      <w:r>
        <w:t>Supporting passages: Matthew 28:5-6; Romans 6:9; Revelation 1:18; Colossians 2:15; Isaiah 53:5.</w:t>
      </w:r>
    </w:p>
    <w:p>
      <w:pPr>
        <w:pStyle w:val="Heading2"/>
        <w:spacing w:before="160" w:after="60"/>
      </w:pPr>
      <w:r>
        <w:t>Stanza-by-Stanza Study</w:t>
      </w:r>
    </w:p>
    <w:tbl>
      <w:tblPr>
        <w:tblStyle w:val="TableGrid"/>
        <w:tblW w:type="auto" w:w="0"/>
        <w:jc w:val="center"/>
        <w:tblLook w:firstColumn="1" w:firstRow="1" w:lastColumn="0" w:lastRow="0" w:noHBand="0" w:noVBand="1" w:val="04A0"/>
      </w:tblPr>
      <w:tblGrid>
        <w:gridCol w:w="3485"/>
        <w:gridCol w:w="3485"/>
        <w:gridCol w:w="3485"/>
      </w:tblGrid>
      <w:tr>
        <w:trPr>
          <w:trHeight w:val="461"/>
        </w:trPr>
        <w:tc>
          <w:tcPr>
            <w:tcW w:type="dxa" w:w="3485"/>
            <w:shd w:fill="5B1E25"/>
          </w:tcPr>
          <w:p>
            <w:pPr>
              <w:spacing w:after="0"/>
            </w:pPr>
            <w:r/>
            <w:r>
              <w:rPr>
                <w:rFonts w:ascii="Aptos" w:hAnsi="Aptos"/>
                <w:b/>
                <w:color w:val="FFFFFF"/>
                <w:sz w:val="19"/>
              </w:rPr>
              <w:t>Movement</w:t>
            </w:r>
          </w:p>
        </w:tc>
        <w:tc>
          <w:tcPr>
            <w:tcW w:type="dxa" w:w="3485"/>
            <w:shd w:fill="5B1E25"/>
          </w:tcPr>
          <w:p>
            <w:pPr>
              <w:spacing w:after="0"/>
            </w:pPr>
            <w:r/>
            <w:r>
              <w:rPr>
                <w:rFonts w:ascii="Aptos" w:hAnsi="Aptos"/>
                <w:b/>
                <w:color w:val="FFFFFF"/>
                <w:sz w:val="19"/>
              </w:rPr>
              <w:t>Theme</w:t>
            </w:r>
          </w:p>
        </w:tc>
        <w:tc>
          <w:tcPr>
            <w:tcW w:type="dxa" w:w="3485"/>
            <w:shd w:fill="5B1E25"/>
          </w:tcPr>
          <w:p>
            <w:pPr>
              <w:spacing w:after="0"/>
            </w:pPr>
            <w:r/>
            <w:r>
              <w:rPr>
                <w:rFonts w:ascii="Aptos" w:hAnsi="Aptos"/>
                <w:b/>
                <w:color w:val="FFFFFF"/>
                <w:sz w:val="19"/>
              </w:rPr>
              <w:t>Teaching Focus</w:t>
            </w:r>
          </w:p>
        </w:tc>
      </w:tr>
      <w:tr>
        <w:trPr>
          <w:trHeight w:val="461"/>
        </w:trPr>
        <w:tc>
          <w:tcPr>
            <w:tcW w:type="dxa" w:w="3485"/>
            <w:vAlign w:val="top"/>
          </w:tcPr>
          <w:p>
            <w:pPr>
              <w:spacing w:after="0"/>
            </w:pPr>
            <w:r/>
            <w:r>
              <w:rPr>
                <w:rFonts w:ascii="Aptos" w:hAnsi="Aptos"/>
                <w:b/>
                <w:color w:val="221916"/>
                <w:sz w:val="18"/>
              </w:rPr>
              <w:t>1</w:t>
            </w:r>
          </w:p>
        </w:tc>
        <w:tc>
          <w:tcPr>
            <w:tcW w:type="dxa" w:w="3485"/>
            <w:vAlign w:val="top"/>
          </w:tcPr>
          <w:p>
            <w:pPr>
              <w:spacing w:after="0"/>
            </w:pPr>
            <w:r/>
            <w:r>
              <w:rPr>
                <w:rFonts w:ascii="Aptos" w:hAnsi="Aptos"/>
                <w:b w:val="0"/>
                <w:color w:val="221916"/>
                <w:sz w:val="18"/>
              </w:rPr>
              <w:t>The finished battle</w:t>
            </w:r>
          </w:p>
        </w:tc>
        <w:tc>
          <w:tcPr>
            <w:tcW w:type="dxa" w:w="3485"/>
            <w:vAlign w:val="top"/>
          </w:tcPr>
          <w:p>
            <w:pPr>
              <w:spacing w:after="0"/>
            </w:pPr>
            <w:r/>
            <w:r>
              <w:rPr>
                <w:rFonts w:ascii="Aptos" w:hAnsi="Aptos"/>
                <w:b w:val="0"/>
                <w:color w:val="221916"/>
                <w:sz w:val="18"/>
              </w:rPr>
              <w:t>Christ’s resurrection means the decisive victory has already been won.</w:t>
            </w:r>
          </w:p>
        </w:tc>
      </w:tr>
      <w:tr>
        <w:trPr>
          <w:trHeight w:val="461"/>
        </w:trPr>
        <w:tc>
          <w:tcPr>
            <w:tcW w:type="dxa" w:w="3485"/>
            <w:vAlign w:val="top"/>
          </w:tcPr>
          <w:p>
            <w:pPr>
              <w:spacing w:after="0"/>
            </w:pPr>
            <w:r/>
            <w:r>
              <w:rPr>
                <w:rFonts w:ascii="Aptos" w:hAnsi="Aptos"/>
                <w:b/>
                <w:color w:val="221916"/>
                <w:sz w:val="18"/>
              </w:rPr>
              <w:t>2</w:t>
            </w:r>
          </w:p>
        </w:tc>
        <w:tc>
          <w:tcPr>
            <w:tcW w:type="dxa" w:w="3485"/>
            <w:vAlign w:val="top"/>
          </w:tcPr>
          <w:p>
            <w:pPr>
              <w:spacing w:after="0"/>
            </w:pPr>
            <w:r/>
            <w:r>
              <w:rPr>
                <w:rFonts w:ascii="Aptos" w:hAnsi="Aptos"/>
                <w:b w:val="0"/>
                <w:color w:val="221916"/>
                <w:sz w:val="18"/>
              </w:rPr>
              <w:t>Death defeated</w:t>
            </w:r>
          </w:p>
        </w:tc>
        <w:tc>
          <w:tcPr>
            <w:tcW w:type="dxa" w:w="3485"/>
            <w:vAlign w:val="top"/>
          </w:tcPr>
          <w:p>
            <w:pPr>
              <w:spacing w:after="0"/>
            </w:pPr>
            <w:r/>
            <w:r>
              <w:rPr>
                <w:rFonts w:ascii="Aptos" w:hAnsi="Aptos"/>
                <w:b w:val="0"/>
                <w:color w:val="221916"/>
                <w:sz w:val="18"/>
              </w:rPr>
              <w:t>The hymn names death honestly while proclaiming that Christ has scattered its power.</w:t>
            </w:r>
          </w:p>
        </w:tc>
      </w:tr>
      <w:tr>
        <w:trPr>
          <w:trHeight w:val="461"/>
        </w:trPr>
        <w:tc>
          <w:tcPr>
            <w:tcW w:type="dxa" w:w="3485"/>
            <w:vAlign w:val="top"/>
          </w:tcPr>
          <w:p>
            <w:pPr>
              <w:spacing w:after="0"/>
            </w:pPr>
            <w:r/>
            <w:r>
              <w:rPr>
                <w:rFonts w:ascii="Aptos" w:hAnsi="Aptos"/>
                <w:b/>
                <w:color w:val="221916"/>
                <w:sz w:val="18"/>
              </w:rPr>
              <w:t>3</w:t>
            </w:r>
          </w:p>
        </w:tc>
        <w:tc>
          <w:tcPr>
            <w:tcW w:type="dxa" w:w="3485"/>
            <w:vAlign w:val="top"/>
          </w:tcPr>
          <w:p>
            <w:pPr>
              <w:spacing w:after="0"/>
            </w:pPr>
            <w:r/>
            <w:r>
              <w:rPr>
                <w:rFonts w:ascii="Aptos" w:hAnsi="Aptos"/>
                <w:b w:val="0"/>
                <w:color w:val="221916"/>
                <w:sz w:val="18"/>
              </w:rPr>
              <w:t>The three days</w:t>
            </w:r>
          </w:p>
        </w:tc>
        <w:tc>
          <w:tcPr>
            <w:tcW w:type="dxa" w:w="3485"/>
            <w:vAlign w:val="top"/>
          </w:tcPr>
          <w:p>
            <w:pPr>
              <w:spacing w:after="0"/>
            </w:pPr>
            <w:r/>
            <w:r>
              <w:rPr>
                <w:rFonts w:ascii="Aptos" w:hAnsi="Aptos"/>
                <w:b w:val="0"/>
                <w:color w:val="221916"/>
                <w:sz w:val="18"/>
              </w:rPr>
              <w:t>The sorrow of the grave gives way to the glory of the risen Lord.</w:t>
            </w:r>
          </w:p>
        </w:tc>
      </w:tr>
      <w:tr>
        <w:trPr>
          <w:trHeight w:val="461"/>
        </w:trPr>
        <w:tc>
          <w:tcPr>
            <w:tcW w:type="dxa" w:w="3485"/>
            <w:vAlign w:val="top"/>
          </w:tcPr>
          <w:p>
            <w:pPr>
              <w:spacing w:after="0"/>
            </w:pPr>
            <w:r/>
            <w:r>
              <w:rPr>
                <w:rFonts w:ascii="Aptos" w:hAnsi="Aptos"/>
                <w:b/>
                <w:color w:val="221916"/>
                <w:sz w:val="18"/>
              </w:rPr>
              <w:t>4</w:t>
            </w:r>
          </w:p>
        </w:tc>
        <w:tc>
          <w:tcPr>
            <w:tcW w:type="dxa" w:w="3485"/>
            <w:vAlign w:val="top"/>
          </w:tcPr>
          <w:p>
            <w:pPr>
              <w:spacing w:after="0"/>
            </w:pPr>
            <w:r/>
            <w:r>
              <w:rPr>
                <w:rFonts w:ascii="Aptos" w:hAnsi="Aptos"/>
                <w:b w:val="0"/>
                <w:color w:val="221916"/>
                <w:sz w:val="18"/>
              </w:rPr>
              <w:t>Opened gates</w:t>
            </w:r>
          </w:p>
        </w:tc>
        <w:tc>
          <w:tcPr>
            <w:tcW w:type="dxa" w:w="3485"/>
            <w:vAlign w:val="top"/>
          </w:tcPr>
          <w:p>
            <w:pPr>
              <w:spacing w:after="0"/>
            </w:pPr>
            <w:r/>
            <w:r>
              <w:rPr>
                <w:rFonts w:ascii="Aptos" w:hAnsi="Aptos"/>
                <w:b w:val="0"/>
                <w:color w:val="221916"/>
                <w:sz w:val="18"/>
              </w:rPr>
              <w:t>Resurrection is pictured as liberation: the way of life stands open in Christ.</w:t>
            </w:r>
          </w:p>
        </w:tc>
      </w:tr>
      <w:tr>
        <w:trPr>
          <w:trHeight w:val="461"/>
        </w:trPr>
        <w:tc>
          <w:tcPr>
            <w:tcW w:type="dxa" w:w="3485"/>
            <w:vAlign w:val="top"/>
          </w:tcPr>
          <w:p>
            <w:pPr>
              <w:spacing w:after="0"/>
            </w:pPr>
            <w:r/>
            <w:r>
              <w:rPr>
                <w:rFonts w:ascii="Aptos" w:hAnsi="Aptos"/>
                <w:b/>
                <w:color w:val="221916"/>
                <w:sz w:val="18"/>
              </w:rPr>
              <w:t>5</w:t>
            </w:r>
          </w:p>
        </w:tc>
        <w:tc>
          <w:tcPr>
            <w:tcW w:type="dxa" w:w="3485"/>
            <w:vAlign w:val="top"/>
          </w:tcPr>
          <w:p>
            <w:pPr>
              <w:spacing w:after="0"/>
            </w:pPr>
            <w:r/>
            <w:r>
              <w:rPr>
                <w:rFonts w:ascii="Aptos" w:hAnsi="Aptos"/>
                <w:b w:val="0"/>
                <w:color w:val="221916"/>
                <w:sz w:val="18"/>
              </w:rPr>
              <w:t>Healing wounds</w:t>
            </w:r>
          </w:p>
        </w:tc>
        <w:tc>
          <w:tcPr>
            <w:tcW w:type="dxa" w:w="3485"/>
            <w:vAlign w:val="top"/>
          </w:tcPr>
          <w:p>
            <w:pPr>
              <w:spacing w:after="0"/>
            </w:pPr>
            <w:r/>
            <w:r>
              <w:rPr>
                <w:rFonts w:ascii="Aptos" w:hAnsi="Aptos"/>
                <w:b w:val="0"/>
                <w:color w:val="221916"/>
                <w:sz w:val="18"/>
              </w:rPr>
              <w:t>The final prayer joins the cross and resurrection: by Christ’s wounds, his servants are freed.</w:t>
            </w:r>
          </w:p>
        </w:tc>
      </w:tr>
      <w:tr>
        <w:trPr>
          <w:trHeight w:val="461"/>
        </w:trPr>
        <w:tc>
          <w:tcPr>
            <w:tcW w:type="dxa" w:w="3485"/>
            <w:vAlign w:val="top"/>
          </w:tcPr>
          <w:p>
            <w:pPr>
              <w:spacing w:after="0"/>
            </w:pPr>
            <w:r/>
            <w:r>
              <w:rPr>
                <w:rFonts w:ascii="Aptos" w:hAnsi="Aptos"/>
                <w:b/>
                <w:color w:val="221916"/>
                <w:sz w:val="18"/>
              </w:rPr>
              <w:t>Refrain</w:t>
            </w:r>
          </w:p>
        </w:tc>
        <w:tc>
          <w:tcPr>
            <w:tcW w:type="dxa" w:w="3485"/>
            <w:vAlign w:val="top"/>
          </w:tcPr>
          <w:p>
            <w:pPr>
              <w:spacing w:after="0"/>
            </w:pPr>
            <w:r/>
            <w:r>
              <w:rPr>
                <w:rFonts w:ascii="Aptos" w:hAnsi="Aptos"/>
                <w:b w:val="0"/>
                <w:color w:val="221916"/>
                <w:sz w:val="18"/>
              </w:rPr>
              <w:t>Alleluia</w:t>
            </w:r>
          </w:p>
        </w:tc>
        <w:tc>
          <w:tcPr>
            <w:tcW w:type="dxa" w:w="3485"/>
            <w:vAlign w:val="top"/>
          </w:tcPr>
          <w:p>
            <w:pPr>
              <w:spacing w:after="0"/>
            </w:pPr>
            <w:r/>
            <w:r>
              <w:rPr>
                <w:rFonts w:ascii="Aptos" w:hAnsi="Aptos"/>
                <w:b w:val="0"/>
                <w:color w:val="221916"/>
                <w:sz w:val="18"/>
              </w:rPr>
              <w:t>Praise becomes a confession of faith in the risen Christ.</w:t>
            </w:r>
          </w:p>
        </w:tc>
      </w:tr>
    </w:tbl>
    <w:p>
      <w:pPr>
        <w:pStyle w:val="Heading2"/>
        <w:spacing w:before="160" w:after="60"/>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B87D32"/>
          </w:tcPr>
          <w:p>
            <w:pPr>
              <w:spacing w:after="0"/>
            </w:pPr>
            <w:r/>
            <w:r>
              <w:rPr>
                <w:rFonts w:ascii="Aptos" w:hAnsi="Aptos"/>
                <w:b/>
                <w:color w:val="FFFFFF"/>
                <w:sz w:val="18"/>
              </w:rPr>
              <w:t>Hymn Theme</w:t>
            </w:r>
          </w:p>
        </w:tc>
        <w:tc>
          <w:tcPr>
            <w:tcW w:type="dxa" w:w="3485"/>
            <w:shd w:fill="B87D32"/>
          </w:tcPr>
          <w:p>
            <w:pPr>
              <w:spacing w:after="0"/>
            </w:pPr>
            <w:r/>
            <w:r>
              <w:rPr>
                <w:rFonts w:ascii="Aptos" w:hAnsi="Aptos"/>
                <w:b/>
                <w:color w:val="FFFFFF"/>
                <w:sz w:val="18"/>
              </w:rPr>
              <w:t>Scripture Connection</w:t>
            </w:r>
          </w:p>
        </w:tc>
        <w:tc>
          <w:tcPr>
            <w:tcW w:type="dxa" w:w="3485"/>
            <w:shd w:fill="B87D32"/>
          </w:tcPr>
          <w:p>
            <w:pPr>
              <w:spacing w:after="0"/>
            </w:pPr>
            <w:r/>
            <w:r>
              <w:rPr>
                <w:rFonts w:ascii="Aptos" w:hAnsi="Aptos"/>
                <w:b/>
                <w:color w:val="FFFFFF"/>
                <w:sz w:val="18"/>
              </w:rPr>
              <w:t>Discussion Prompt</w:t>
            </w:r>
          </w:p>
        </w:tc>
      </w:tr>
      <w:tr>
        <w:tc>
          <w:tcPr>
            <w:tcW w:type="dxa" w:w="3485"/>
          </w:tcPr>
          <w:p>
            <w:pPr>
              <w:spacing w:after="0"/>
            </w:pPr>
            <w:r/>
            <w:r>
              <w:rPr>
                <w:rFonts w:ascii="Aptos" w:hAnsi="Aptos"/>
                <w:b w:val="0"/>
                <w:color w:val="221916"/>
                <w:sz w:val="18"/>
              </w:rPr>
              <w:t>Victory over death</w:t>
            </w:r>
          </w:p>
        </w:tc>
        <w:tc>
          <w:tcPr>
            <w:tcW w:type="dxa" w:w="3485"/>
          </w:tcPr>
          <w:p>
            <w:pPr>
              <w:spacing w:after="0"/>
            </w:pPr>
            <w:r/>
            <w:r>
              <w:rPr>
                <w:rFonts w:ascii="Aptos" w:hAnsi="Aptos"/>
                <w:b w:val="0"/>
                <w:color w:val="221916"/>
                <w:sz w:val="18"/>
              </w:rPr>
              <w:t>1 Corinthians 15:54-57</w:t>
            </w:r>
          </w:p>
        </w:tc>
        <w:tc>
          <w:tcPr>
            <w:tcW w:type="dxa" w:w="3485"/>
          </w:tcPr>
          <w:p>
            <w:pPr>
              <w:spacing w:after="0"/>
            </w:pPr>
            <w:r/>
            <w:r>
              <w:rPr>
                <w:rFonts w:ascii="Aptos" w:hAnsi="Aptos"/>
                <w:b w:val="0"/>
                <w:color w:val="221916"/>
                <w:sz w:val="18"/>
              </w:rPr>
              <w:t>What fear changes when death is not the final word?</w:t>
            </w:r>
          </w:p>
        </w:tc>
      </w:tr>
      <w:tr>
        <w:tc>
          <w:tcPr>
            <w:tcW w:type="dxa" w:w="3485"/>
          </w:tcPr>
          <w:p>
            <w:pPr>
              <w:spacing w:after="0"/>
            </w:pPr>
            <w:r/>
            <w:r>
              <w:rPr>
                <w:rFonts w:ascii="Aptos" w:hAnsi="Aptos"/>
                <w:b w:val="0"/>
                <w:color w:val="221916"/>
                <w:sz w:val="18"/>
              </w:rPr>
              <w:t>The empty tomb</w:t>
            </w:r>
          </w:p>
        </w:tc>
        <w:tc>
          <w:tcPr>
            <w:tcW w:type="dxa" w:w="3485"/>
          </w:tcPr>
          <w:p>
            <w:pPr>
              <w:spacing w:after="0"/>
            </w:pPr>
            <w:r/>
            <w:r>
              <w:rPr>
                <w:rFonts w:ascii="Aptos" w:hAnsi="Aptos"/>
                <w:b w:val="0"/>
                <w:color w:val="221916"/>
                <w:sz w:val="18"/>
              </w:rPr>
              <w:t>Matthew 28:5-6</w:t>
            </w:r>
          </w:p>
        </w:tc>
        <w:tc>
          <w:tcPr>
            <w:tcW w:type="dxa" w:w="3485"/>
          </w:tcPr>
          <w:p>
            <w:pPr>
              <w:spacing w:after="0"/>
            </w:pPr>
            <w:r/>
            <w:r>
              <w:rPr>
                <w:rFonts w:ascii="Aptos" w:hAnsi="Aptos"/>
                <w:b w:val="0"/>
                <w:color w:val="221916"/>
                <w:sz w:val="18"/>
              </w:rPr>
              <w:t>What does the angel’s announcement require us to believe?</w:t>
            </w:r>
          </w:p>
        </w:tc>
      </w:tr>
      <w:tr>
        <w:tc>
          <w:tcPr>
            <w:tcW w:type="dxa" w:w="3485"/>
          </w:tcPr>
          <w:p>
            <w:pPr>
              <w:spacing w:after="0"/>
            </w:pPr>
            <w:r/>
            <w:r>
              <w:rPr>
                <w:rFonts w:ascii="Aptos" w:hAnsi="Aptos"/>
                <w:b w:val="0"/>
                <w:color w:val="221916"/>
                <w:sz w:val="18"/>
              </w:rPr>
              <w:t>Freedom from dominion</w:t>
            </w:r>
          </w:p>
        </w:tc>
        <w:tc>
          <w:tcPr>
            <w:tcW w:type="dxa" w:w="3485"/>
          </w:tcPr>
          <w:p>
            <w:pPr>
              <w:spacing w:after="0"/>
            </w:pPr>
            <w:r/>
            <w:r>
              <w:rPr>
                <w:rFonts w:ascii="Aptos" w:hAnsi="Aptos"/>
                <w:b w:val="0"/>
                <w:color w:val="221916"/>
                <w:sz w:val="18"/>
              </w:rPr>
              <w:t>Romans 6:9</w:t>
            </w:r>
          </w:p>
        </w:tc>
        <w:tc>
          <w:tcPr>
            <w:tcW w:type="dxa" w:w="3485"/>
          </w:tcPr>
          <w:p>
            <w:pPr>
              <w:spacing w:after="0"/>
            </w:pPr>
            <w:r/>
            <w:r>
              <w:rPr>
                <w:rFonts w:ascii="Aptos" w:hAnsi="Aptos"/>
                <w:b w:val="0"/>
                <w:color w:val="221916"/>
                <w:sz w:val="18"/>
              </w:rPr>
              <w:t>Where do believers need to remember Christ’s rule today?</w:t>
            </w:r>
          </w:p>
        </w:tc>
      </w:tr>
      <w:tr>
        <w:tc>
          <w:tcPr>
            <w:tcW w:type="dxa" w:w="3485"/>
          </w:tcPr>
          <w:p>
            <w:pPr>
              <w:spacing w:after="0"/>
            </w:pPr>
            <w:r/>
            <w:r>
              <w:rPr>
                <w:rFonts w:ascii="Aptos" w:hAnsi="Aptos"/>
                <w:b w:val="0"/>
                <w:color w:val="221916"/>
                <w:sz w:val="18"/>
              </w:rPr>
              <w:t>The wounded Savior</w:t>
            </w:r>
          </w:p>
        </w:tc>
        <w:tc>
          <w:tcPr>
            <w:tcW w:type="dxa" w:w="3485"/>
          </w:tcPr>
          <w:p>
            <w:pPr>
              <w:spacing w:after="0"/>
            </w:pPr>
            <w:r/>
            <w:r>
              <w:rPr>
                <w:rFonts w:ascii="Aptos" w:hAnsi="Aptos"/>
                <w:b w:val="0"/>
                <w:color w:val="221916"/>
                <w:sz w:val="18"/>
              </w:rPr>
              <w:t>Isaiah 53:5</w:t>
            </w:r>
          </w:p>
        </w:tc>
        <w:tc>
          <w:tcPr>
            <w:tcW w:type="dxa" w:w="3485"/>
          </w:tcPr>
          <w:p>
            <w:pPr>
              <w:spacing w:after="0"/>
            </w:pPr>
            <w:r/>
            <w:r>
              <w:rPr>
                <w:rFonts w:ascii="Aptos" w:hAnsi="Aptos"/>
                <w:b w:val="0"/>
                <w:color w:val="221916"/>
                <w:sz w:val="18"/>
              </w:rPr>
              <w:t>How do Christ’s wounds become comfort for wounded people?</w:t>
            </w:r>
          </w:p>
        </w:tc>
      </w:tr>
    </w:tbl>
    <w:p>
      <w:pPr>
        <w:pStyle w:val="Heading2"/>
        <w:spacing w:before="160" w:after="60"/>
      </w:pPr>
      <w:r>
        <w:t>Discussion Questions</w:t>
      </w:r>
    </w:p>
    <w:p>
      <w:pPr>
        <w:pStyle w:val="ListNumber"/>
        <w:spacing w:after="40"/>
      </w:pPr>
      <w:r>
        <w:t>What is the hymn’s central announcement about Christ?</w:t>
      </w:r>
    </w:p>
    <w:p>
      <w:pPr>
        <w:pStyle w:val="ListNumber"/>
        <w:spacing w:after="40"/>
      </w:pPr>
      <w:r>
        <w:t>Which image is strongest to you: battle finished, death defeated, gates opened, or wounds that heal?</w:t>
      </w:r>
    </w:p>
    <w:p>
      <w:pPr>
        <w:pStyle w:val="ListNumber"/>
        <w:spacing w:after="40"/>
      </w:pPr>
      <w:r>
        <w:t>How does 1 Corinthians 15:54-57 deepen the meaning of the hymn?</w:t>
      </w:r>
    </w:p>
    <w:p>
      <w:pPr>
        <w:pStyle w:val="ListNumber"/>
        <w:spacing w:after="40"/>
      </w:pPr>
      <w:r>
        <w:t>Why should Christian praise be rooted in the resurrection rather than in changing circumstances?</w:t>
      </w:r>
    </w:p>
    <w:p>
      <w:pPr>
        <w:pStyle w:val="ListNumber"/>
        <w:spacing w:after="40"/>
      </w:pPr>
      <w:r>
        <w:t>How can this hymn serve someone who is grieving?</w:t>
      </w:r>
    </w:p>
    <w:p>
      <w:pPr>
        <w:pStyle w:val="ListNumber"/>
        <w:spacing w:after="40"/>
      </w:pPr>
      <w:r>
        <w:t>What does the hymn teach a congregation to believe when it sings together?</w:t>
      </w:r>
    </w:p>
    <w:p>
      <w:pPr>
        <w:pStyle w:val="ListNumber"/>
        <w:spacing w:after="40"/>
      </w:pPr>
      <w:r>
        <w:t>Where do you need to practice resurrection hope this week?</w:t>
      </w:r>
    </w:p>
    <w:p>
      <w:pPr>
        <w:pStyle w:val="ListNumber"/>
        <w:spacing w:after="40"/>
      </w:pPr>
      <w:r>
        <w:t>How might your group or church sing Alleluia with greater faith and clarity?</w:t>
      </w:r>
    </w:p>
    <w:p>
      <w:pPr>
        <w:pStyle w:val="Heading2"/>
        <w:spacing w:before="160" w:after="60"/>
      </w:pPr>
      <w:r>
        <w:t>Practice This Week</w:t>
      </w:r>
    </w:p>
    <w:p>
      <w:pPr>
        <w:pStyle w:val="ListBullet"/>
        <w:spacing w:after="40"/>
      </w:pPr>
      <w:r>
        <w:t>Read 1 Corinthians 15:54-57 slowly each day and turn one phrase into prayer.</w:t>
      </w:r>
    </w:p>
    <w:p>
      <w:pPr>
        <w:pStyle w:val="ListBullet"/>
        <w:spacing w:after="40"/>
      </w:pPr>
      <w:r>
        <w:t>Encourage someone who is weary with the hope of Christ’s resurrection.</w:t>
      </w:r>
    </w:p>
    <w:p>
      <w:pPr>
        <w:pStyle w:val="ListBullet"/>
        <w:spacing w:after="40"/>
      </w:pPr>
      <w:r>
        <w:t>In a moment of anxiety or grief, speak a simple confession: “Christ is risen; death is not Lord.”</w:t>
      </w:r>
    </w:p>
    <w:p>
      <w:pPr>
        <w:pStyle w:val="ListBullet"/>
        <w:spacing w:after="40"/>
      </w:pPr>
      <w:r>
        <w:t>Sing the hymn as a prayer, letting the Alleluia become deliberate praise.</w:t>
      </w:r>
    </w:p>
    <w:p>
      <w:pPr>
        <w:pStyle w:val="Heading2"/>
        <w:spacing w:before="160" w:after="60"/>
      </w:pPr>
      <w:r>
        <w:t>Optional Leader Notes</w:t>
      </w:r>
    </w:p>
    <w:p>
      <w:r>
        <w:t>Keep the discussion grounded in Scripture. Do not let “victory” become triumphalism; the hymn’s victory comes through the crucified and risen Christ. Give room for honest grief while gently directing the group toward the empty tomb.</w:t>
      </w:r>
    </w:p>
    <w:p>
      <w:pPr>
        <w:pStyle w:val="Heading2"/>
        <w:spacing w:before="160" w:after="60"/>
      </w:pPr>
      <w:r>
        <w:t>Closing Prayer</w:t>
      </w:r>
    </w:p>
    <w:p>
      <w:r>
        <w:t>Risen Lord Jesus, steady our hearts in the victory you have won. Free us from fear, teach us to sing with faith, and make our lives signs of your resurrection hope. Amen.</w:t>
      </w:r>
    </w:p>
    <w:p>
      <w:pPr>
        <w:spacing w:before="160"/>
        <w:jc w:val="center"/>
      </w:pPr>
      <w:r>
        <w:rPr>
          <w:color w:val="6E64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864"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64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B1E2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B3427"/>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B1E2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Strife Is O’er, the Battle Done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