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2C1B13"/>
          <w:sz w:val="48"/>
        </w:rPr>
        <w:t>In Christ Alone</w:t>
      </w:r>
    </w:p>
    <w:p>
      <w:pPr>
        <w:jc w:val="center"/>
      </w:pPr>
      <w:r>
        <w:rPr>
          <w:rFonts w:ascii="Aptos" w:hAnsi="Aptos"/>
          <w:color w:val="6E4B2A"/>
          <w:sz w:val="22"/>
        </w:rPr>
        <w:t>Small Group Handout</w:t>
      </w:r>
    </w:p>
    <w:p>
      <w:pPr>
        <w:jc w:val="center"/>
      </w:pPr>
      <w:r>
        <w:rPr>
          <w:rFonts w:ascii="Aptos" w:hAnsi="Aptos"/>
          <w:color w:val="5A5046"/>
          <w:sz w:val="19"/>
        </w:rPr>
        <w:t>Keith Getty, melody · Stuart Townend, text · 2001</w:t>
      </w:r>
    </w:p>
    <w:tbl>
      <w:tblPr>
        <w:tblW w:type="auto" w:w="0"/>
        <w:jc w:val="center"/>
        <w:tblLayout w:type="autofit"/>
        <w:tblLook w:firstColumn="1" w:firstRow="1" w:lastColumn="0" w:lastRow="0" w:noHBand="0" w:noVBand="1" w:val="04A0"/>
      </w:tblPr>
      <w:tblGrid>
        <w:gridCol w:w="10224"/>
      </w:tblGrid>
      <w:tr>
        <w:tc>
          <w:tcPr>
            <w:tcW w:type="dxa" w:w="10224"/>
            <w:shd w:fill="FFF3DA"/>
            <w:tcBorders>
              <w:top w:sz="8" w:val="single" w:color="D7B56D"/>
              <w:left w:sz="8" w:val="single" w:color="D7B56D"/>
              <w:bottom w:sz="8" w:val="single" w:color="D7B56D"/>
              <w:right w:sz="8" w:val="single" w:color="D7B56D"/>
            </w:tcBorders>
          </w:tcPr>
          <w:p>
            <w:r>
              <w:rPr>
                <w:sz w:val="20"/>
              </w:rPr>
              <w:t>Purpose: to help a group see how this modern hymn sings the person and saving work of Christ, and to respond with faith, assurance, and worship.</w:t>
            </w:r>
          </w:p>
        </w:tc>
      </w:tr>
    </w:tbl>
    <w:p>
      <w:pPr>
        <w:pStyle w:val="Heading1"/>
      </w:pPr>
      <w:r>
        <w:t>Opening Reflection</w:t>
      </w:r>
    </w:p>
    <w:p>
      <w:pPr>
        <w:pStyle w:val="ListBullet"/>
        <w:spacing w:after="60"/>
      </w:pPr>
      <w:r>
        <w:t>When have you needed a reminder that hope rests in Christ rather than in your own strength?</w:t>
      </w:r>
    </w:p>
    <w:p>
      <w:pPr>
        <w:pStyle w:val="ListBullet"/>
        <w:spacing w:after="60"/>
      </w:pPr>
      <w:r>
        <w:t>Which is harder for you to receive: forgiveness, assurance, or perseverance?</w:t>
      </w:r>
    </w:p>
    <w:p>
      <w:pPr>
        <w:pStyle w:val="ListBullet"/>
        <w:spacing w:after="60"/>
      </w:pPr>
      <w:r>
        <w:t>How can congregational singing help a church remember the gospel together?</w:t>
      </w:r>
    </w:p>
    <w:p>
      <w:pPr>
        <w:pStyle w:val="Heading1"/>
      </w:pPr>
      <w:r>
        <w:t>Brief Hymn Background</w:t>
      </w:r>
    </w:p>
    <w:p>
      <w:r>
        <w:rPr>
          <w:i/>
        </w:rPr>
        <w:t>In Christ Alone</w:t>
      </w:r>
      <w:r>
        <w:t xml:space="preserve"> was written in 2001 through the collaboration of Keith Getty and Stuart Townend. Getty developed the melody, and Townend shaped the text into a gospel-centered narrative. The tune is commonly identified as IN CHRIST ALONE, with meter L.M.D. or 8.8.8.8.D. The hymn became closely associated with the modern hymn movement and is widely used in contemporary congregational worship.</w:t>
      </w:r>
    </w:p>
    <w:p>
      <w:pPr>
        <w:pStyle w:val="Heading1"/>
      </w:pPr>
      <w:r>
        <w:t>Primary Scripture and Supporting Scriptures</w:t>
      </w:r>
    </w:p>
    <w:p>
      <w:pPr>
        <w:pStyle w:val="ListBullet"/>
      </w:pPr>
      <w:r>
        <w:rPr>
          <w:b/>
        </w:rPr>
        <w:t xml:space="preserve">1 Corinthians 15:3-4: </w:t>
      </w:r>
      <w:r>
        <w:t>Christ died, was buried, and was raised according to the Scriptures.</w:t>
      </w:r>
    </w:p>
    <w:p>
      <w:pPr>
        <w:pStyle w:val="ListBullet"/>
      </w:pPr>
      <w:r>
        <w:rPr>
          <w:b/>
        </w:rPr>
        <w:t xml:space="preserve">Philippians 2:5-11: </w:t>
      </w:r>
      <w:r>
        <w:t>The Son humbles himself and is exalted as Lord.</w:t>
      </w:r>
    </w:p>
    <w:p>
      <w:pPr>
        <w:pStyle w:val="ListBullet"/>
      </w:pPr>
      <w:r>
        <w:rPr>
          <w:b/>
        </w:rPr>
        <w:t xml:space="preserve">Colossians 1:15-20: </w:t>
      </w:r>
      <w:r>
        <w:t>Christ is preeminent and reconciles through the cross.</w:t>
      </w:r>
    </w:p>
    <w:p>
      <w:pPr>
        <w:pStyle w:val="ListBullet"/>
      </w:pPr>
      <w:r>
        <w:rPr>
          <w:b/>
        </w:rPr>
        <w:t xml:space="preserve">Romans 8:31-39: </w:t>
      </w:r>
      <w:r>
        <w:t>God justifies, Christ intercedes, and nothing separates believers from God’s love.</w:t>
      </w:r>
    </w:p>
    <w:p>
      <w:pPr>
        <w:pStyle w:val="ListBullet"/>
      </w:pPr>
      <w:r>
        <w:rPr>
          <w:b/>
        </w:rPr>
        <w:t xml:space="preserve">John 10:27-29: </w:t>
      </w:r>
      <w:r>
        <w:t>Christ keeps his sheep securely in his hand.</w:t>
      </w:r>
    </w:p>
    <w:p>
      <w:pPr>
        <w:pStyle w:val="Heading1"/>
      </w:pPr>
      <w:r>
        <w:t>Study the Hymn’s Movement</w:t>
      </w:r>
    </w:p>
    <w:p>
      <w:pPr>
        <w:pStyle w:val="Heading2"/>
      </w:pPr>
      <w:r>
        <w:t>Opening movement: Christ as foundation</w:t>
      </w:r>
    </w:p>
    <w:p>
      <w:r>
        <w:t>The hymn begins by grounding the believer’s hope, strength, and standing in Christ. This connects naturally with Colossians 1:15-20 and Romans 8:31-39.</w:t>
      </w:r>
    </w:p>
    <w:p>
      <w:pPr>
        <w:pStyle w:val="Heading2"/>
      </w:pPr>
      <w:r>
        <w:t>Incarnation and cross</w:t>
      </w:r>
    </w:p>
    <w:p>
      <w:r>
        <w:t>The hymn then moves to the Son taking flesh and giving himself in saving love. Philippians 2:5-11 helps the group see humility, obedience, and exaltation together.</w:t>
      </w:r>
    </w:p>
    <w:p>
      <w:pPr>
        <w:pStyle w:val="Heading2"/>
      </w:pPr>
      <w:r>
        <w:t>Resurrection victory</w:t>
      </w:r>
    </w:p>
    <w:p>
      <w:r>
        <w:t>The burial and resurrection movement turns Christian hope from wishful thinking into confidence grounded in God’s action. 1 Corinthians 15:3-4 is the anchor here.</w:t>
      </w:r>
    </w:p>
    <w:p>
      <w:pPr>
        <w:pStyle w:val="Heading2"/>
      </w:pPr>
      <w:r>
        <w:t>Assurance and final hope</w:t>
      </w:r>
    </w:p>
    <w:p>
      <w:r>
        <w:t>The final movement applies the gospel to life, death, and the future. Romans 8 and John 10 show why believers can rest in Christ’s keeping power.</w:t>
      </w:r>
    </w:p>
    <w:p>
      <w:pPr>
        <w:pStyle w:val="Heading1"/>
      </w:pPr>
      <w:r>
        <w:t>Study Table</w:t>
      </w:r>
    </w:p>
    <w:tbl>
      <w:tblPr>
        <w:tblW w:type="auto" w:w="0"/>
        <w:jc w:val="center"/>
        <w:tblLook w:firstColumn="1" w:firstRow="1" w:lastColumn="0" w:lastRow="0" w:noHBand="0" w:noVBand="1" w:val="04A0"/>
      </w:tblPr>
      <w:tblGrid>
        <w:gridCol w:w="3408"/>
        <w:gridCol w:w="3408"/>
        <w:gridCol w:w="3408"/>
      </w:tblGrid>
      <w:tr>
        <w:trPr>
          <w:tblHeader w:val="true"/>
        </w:trPr>
        <w:tc>
          <w:tcPr>
            <w:tcW w:type="dxa" w:w="3408"/>
            <w:shd w:fill="6E4B2A"/>
          </w:tcPr>
          <w:p>
            <w:r>
              <w:rPr>
                <w:b/>
                <w:color w:val="FFFFFF"/>
              </w:rPr>
              <w:t>Hymn Theme</w:t>
            </w:r>
          </w:p>
        </w:tc>
        <w:tc>
          <w:tcPr>
            <w:tcW w:type="dxa" w:w="3408"/>
            <w:shd w:fill="6E4B2A"/>
          </w:tcPr>
          <w:p>
            <w:r>
              <w:rPr>
                <w:b/>
                <w:color w:val="FFFFFF"/>
              </w:rPr>
              <w:t>Scripture Connection</w:t>
            </w:r>
          </w:p>
        </w:tc>
        <w:tc>
          <w:tcPr>
            <w:tcW w:type="dxa" w:w="3408"/>
            <w:shd w:fill="6E4B2A"/>
          </w:tcPr>
          <w:p>
            <w:r>
              <w:rPr>
                <w:b/>
                <w:color w:val="FFFFFF"/>
              </w:rPr>
              <w:t>Discussion Prompt</w:t>
            </w:r>
          </w:p>
        </w:tc>
      </w:tr>
      <w:tr>
        <w:tc>
          <w:tcPr>
            <w:tcW w:type="dxa" w:w="3408"/>
            <w:vAlign w:val="top"/>
            <w:tcBorders>
              <w:top w:sz="4" w:val="single" w:color="D7B56D"/>
              <w:left w:sz="4" w:val="single" w:color="D7B56D"/>
              <w:bottom w:sz="4" w:val="single" w:color="D7B56D"/>
              <w:right w:sz="4" w:val="single" w:color="D7B56D"/>
            </w:tcBorders>
          </w:tcPr>
          <w:p>
            <w:r>
              <w:t>Christ our foundation</w:t>
            </w:r>
          </w:p>
        </w:tc>
        <w:tc>
          <w:tcPr>
            <w:tcW w:type="dxa" w:w="3408"/>
            <w:vAlign w:val="top"/>
            <w:tcBorders>
              <w:top w:sz="4" w:val="single" w:color="D7B56D"/>
              <w:left w:sz="4" w:val="single" w:color="D7B56D"/>
              <w:bottom w:sz="4" w:val="single" w:color="D7B56D"/>
              <w:right w:sz="4" w:val="single" w:color="D7B56D"/>
            </w:tcBorders>
          </w:tcPr>
          <w:p>
            <w:r>
              <w:t>Colossians 1:15-20</w:t>
            </w:r>
          </w:p>
        </w:tc>
        <w:tc>
          <w:tcPr>
            <w:tcW w:type="dxa" w:w="3408"/>
            <w:vAlign w:val="top"/>
            <w:tcBorders>
              <w:top w:sz="4" w:val="single" w:color="D7B56D"/>
              <w:left w:sz="4" w:val="single" w:color="D7B56D"/>
              <w:bottom w:sz="4" w:val="single" w:color="D7B56D"/>
              <w:right w:sz="4" w:val="single" w:color="D7B56D"/>
            </w:tcBorders>
          </w:tcPr>
          <w:p>
            <w:r>
              <w:t>What makes Christ a better foundation than feelings or circumstances?</w:t>
            </w:r>
          </w:p>
        </w:tc>
      </w:tr>
      <w:tr>
        <w:tc>
          <w:tcPr>
            <w:tcW w:type="dxa" w:w="3408"/>
            <w:vAlign w:val="top"/>
            <w:tcBorders>
              <w:top w:sz="4" w:val="single" w:color="D7B56D"/>
              <w:left w:sz="4" w:val="single" w:color="D7B56D"/>
              <w:bottom w:sz="4" w:val="single" w:color="D7B56D"/>
              <w:right w:sz="4" w:val="single" w:color="D7B56D"/>
            </w:tcBorders>
          </w:tcPr>
          <w:p>
            <w:r>
              <w:t>The cross and redemption</w:t>
            </w:r>
          </w:p>
        </w:tc>
        <w:tc>
          <w:tcPr>
            <w:tcW w:type="dxa" w:w="3408"/>
            <w:vAlign w:val="top"/>
            <w:tcBorders>
              <w:top w:sz="4" w:val="single" w:color="D7B56D"/>
              <w:left w:sz="4" w:val="single" w:color="D7B56D"/>
              <w:bottom w:sz="4" w:val="single" w:color="D7B56D"/>
              <w:right w:sz="4" w:val="single" w:color="D7B56D"/>
            </w:tcBorders>
          </w:tcPr>
          <w:p>
            <w:r>
              <w:t>Philippians 2:5-11; 1 Corinthians 15:3-4</w:t>
            </w:r>
          </w:p>
        </w:tc>
        <w:tc>
          <w:tcPr>
            <w:tcW w:type="dxa" w:w="3408"/>
            <w:vAlign w:val="top"/>
            <w:tcBorders>
              <w:top w:sz="4" w:val="single" w:color="D7B56D"/>
              <w:left w:sz="4" w:val="single" w:color="D7B56D"/>
              <w:bottom w:sz="4" w:val="single" w:color="D7B56D"/>
              <w:right w:sz="4" w:val="single" w:color="D7B56D"/>
            </w:tcBorders>
          </w:tcPr>
          <w:p>
            <w:r>
              <w:t>How does the cross reveal both humility and saving love?</w:t>
            </w:r>
          </w:p>
        </w:tc>
      </w:tr>
      <w:tr>
        <w:tc>
          <w:tcPr>
            <w:tcW w:type="dxa" w:w="3408"/>
            <w:vAlign w:val="top"/>
            <w:tcBorders>
              <w:top w:sz="4" w:val="single" w:color="D7B56D"/>
              <w:left w:sz="4" w:val="single" w:color="D7B56D"/>
              <w:bottom w:sz="4" w:val="single" w:color="D7B56D"/>
              <w:right w:sz="4" w:val="single" w:color="D7B56D"/>
            </w:tcBorders>
          </w:tcPr>
          <w:p>
            <w:r>
              <w:t>Resurrection victory</w:t>
            </w:r>
          </w:p>
        </w:tc>
        <w:tc>
          <w:tcPr>
            <w:tcW w:type="dxa" w:w="3408"/>
            <w:vAlign w:val="top"/>
            <w:tcBorders>
              <w:top w:sz="4" w:val="single" w:color="D7B56D"/>
              <w:left w:sz="4" w:val="single" w:color="D7B56D"/>
              <w:bottom w:sz="4" w:val="single" w:color="D7B56D"/>
              <w:right w:sz="4" w:val="single" w:color="D7B56D"/>
            </w:tcBorders>
          </w:tcPr>
          <w:p>
            <w:r>
              <w:t>1 Corinthians 15:3-4</w:t>
            </w:r>
          </w:p>
        </w:tc>
        <w:tc>
          <w:tcPr>
            <w:tcW w:type="dxa" w:w="3408"/>
            <w:vAlign w:val="top"/>
            <w:tcBorders>
              <w:top w:sz="4" w:val="single" w:color="D7B56D"/>
              <w:left w:sz="4" w:val="single" w:color="D7B56D"/>
              <w:bottom w:sz="4" w:val="single" w:color="D7B56D"/>
              <w:right w:sz="4" w:val="single" w:color="D7B56D"/>
            </w:tcBorders>
          </w:tcPr>
          <w:p>
            <w:r>
              <w:t>How does resurrection hope differ from optimism?</w:t>
            </w:r>
          </w:p>
        </w:tc>
      </w:tr>
      <w:tr>
        <w:tc>
          <w:tcPr>
            <w:tcW w:type="dxa" w:w="3408"/>
            <w:vAlign w:val="top"/>
            <w:tcBorders>
              <w:top w:sz="4" w:val="single" w:color="D7B56D"/>
              <w:left w:sz="4" w:val="single" w:color="D7B56D"/>
              <w:bottom w:sz="4" w:val="single" w:color="D7B56D"/>
              <w:right w:sz="4" w:val="single" w:color="D7B56D"/>
            </w:tcBorders>
          </w:tcPr>
          <w:p>
            <w:r>
              <w:t>Assurance and perseverance</w:t>
            </w:r>
          </w:p>
        </w:tc>
        <w:tc>
          <w:tcPr>
            <w:tcW w:type="dxa" w:w="3408"/>
            <w:vAlign w:val="top"/>
            <w:tcBorders>
              <w:top w:sz="4" w:val="single" w:color="D7B56D"/>
              <w:left w:sz="4" w:val="single" w:color="D7B56D"/>
              <w:bottom w:sz="4" w:val="single" w:color="D7B56D"/>
              <w:right w:sz="4" w:val="single" w:color="D7B56D"/>
            </w:tcBorders>
          </w:tcPr>
          <w:p>
            <w:r>
              <w:t>Romans 8:31-39; John 10:27-29</w:t>
            </w:r>
          </w:p>
        </w:tc>
        <w:tc>
          <w:tcPr>
            <w:tcW w:type="dxa" w:w="3408"/>
            <w:vAlign w:val="top"/>
            <w:tcBorders>
              <w:top w:sz="4" w:val="single" w:color="D7B56D"/>
              <w:left w:sz="4" w:val="single" w:color="D7B56D"/>
              <w:bottom w:sz="4" w:val="single" w:color="D7B56D"/>
              <w:right w:sz="4" w:val="single" w:color="D7B56D"/>
            </w:tcBorders>
          </w:tcPr>
          <w:p>
            <w:r>
              <w:t>What fears are answered by Christ’s keeping power?</w:t>
            </w:r>
          </w:p>
        </w:tc>
      </w:tr>
    </w:tbl>
    <w:p>
      <w:pPr>
        <w:pStyle w:val="Heading1"/>
      </w:pPr>
      <w:r>
        <w:t>Discussion Questions</w:t>
      </w:r>
    </w:p>
    <w:p>
      <w:pPr>
        <w:pStyle w:val="ListNumber"/>
        <w:spacing w:after="60"/>
      </w:pPr>
      <w:r>
        <w:t>How does the hymn summarize the gospel story from incarnation to resurrection?</w:t>
      </w:r>
    </w:p>
    <w:p>
      <w:pPr>
        <w:pStyle w:val="ListNumber"/>
        <w:spacing w:after="60"/>
      </w:pPr>
      <w:r>
        <w:t>Which doctrine in the hymn most strengthens your faith right now?</w:t>
      </w:r>
    </w:p>
    <w:p>
      <w:pPr>
        <w:pStyle w:val="ListNumber"/>
        <w:spacing w:after="60"/>
      </w:pPr>
      <w:r>
        <w:t>How do Romans 8:31-39 and John 10:27-29 deepen the hymn’s message of assurance?</w:t>
      </w:r>
    </w:p>
    <w:p>
      <w:pPr>
        <w:pStyle w:val="ListNumber"/>
        <w:spacing w:after="60"/>
      </w:pPr>
      <w:r>
        <w:t>Why does it matter that Christian assurance rests in Christ’s work rather than our feelings?</w:t>
      </w:r>
    </w:p>
    <w:p>
      <w:pPr>
        <w:pStyle w:val="ListNumber"/>
        <w:spacing w:after="60"/>
      </w:pPr>
      <w:r>
        <w:t>How can a church sing this hymn as confession rather than performance?</w:t>
      </w:r>
    </w:p>
    <w:p>
      <w:pPr>
        <w:pStyle w:val="ListNumber"/>
        <w:spacing w:after="60"/>
      </w:pPr>
      <w:r>
        <w:t>What does the hymn teach us about facing fear, guilt, grief, or uncertainty?</w:t>
      </w:r>
    </w:p>
    <w:p>
      <w:pPr>
        <w:pStyle w:val="ListNumber"/>
        <w:spacing w:after="60"/>
      </w:pPr>
      <w:r>
        <w:t>How might doctrinally rich singing shape a congregation over time?</w:t>
      </w:r>
    </w:p>
    <w:p>
      <w:pPr>
        <w:pStyle w:val="ListNumber"/>
        <w:spacing w:after="60"/>
      </w:pPr>
      <w:r>
        <w:t>What one phrase or theme from this study should you carry into prayer this week?</w:t>
      </w:r>
    </w:p>
    <w:p>
      <w:pPr>
        <w:pStyle w:val="Heading1"/>
      </w:pPr>
      <w:r>
        <w:t>Practice This Week</w:t>
      </w:r>
    </w:p>
    <w:p>
      <w:pPr>
        <w:pStyle w:val="ListBullet"/>
        <w:spacing w:after="60"/>
      </w:pPr>
      <w:r>
        <w:t>Pray through Romans 8:31-39 slowly, naming fears or accusations before God.</w:t>
      </w:r>
    </w:p>
    <w:p>
      <w:pPr>
        <w:pStyle w:val="ListBullet"/>
        <w:spacing w:after="60"/>
      </w:pPr>
      <w:r>
        <w:t>Write a one-sentence summary of the gospel using 1 Corinthians 15:3-4.</w:t>
      </w:r>
    </w:p>
    <w:p>
      <w:pPr>
        <w:pStyle w:val="ListBullet"/>
        <w:spacing w:after="60"/>
      </w:pPr>
      <w:r>
        <w:t>Meditate on Philippians 2:5-11 and choose one act of humble service.</w:t>
      </w:r>
    </w:p>
    <w:p>
      <w:pPr>
        <w:pStyle w:val="ListBullet"/>
        <w:spacing w:after="60"/>
      </w:pPr>
      <w:r>
        <w:t>Encourage one weary believer with a Scripture-based reminder of Christ’s keeping power.</w:t>
      </w:r>
    </w:p>
    <w:p>
      <w:pPr>
        <w:pStyle w:val="Heading1"/>
      </w:pPr>
      <w:r>
        <w:t>Optional Leader Notes</w:t>
      </w:r>
    </w:p>
    <w:p>
      <w:r>
        <w:t>Keep the discussion centered on Christ’s person and work. When atonement language is discussed, define terms from Scripture and avoid turning the session into a debate. Let the group see how doctrine becomes comfort, worship, and perseverance.</w:t>
      </w:r>
    </w:p>
    <w:p>
      <w:pPr>
        <w:pStyle w:val="Heading1"/>
      </w:pPr>
      <w:r>
        <w:t>Closing Prayer</w:t>
      </w:r>
    </w:p>
    <w:p>
      <w:r>
        <w:t>Lord Jesus Christ, teach us to stand in You alone. Strengthen our faith in Your incarnation, cross, resurrection, and reign. Quiet our fears, deepen our worship, and help us encourage one another with the hope of the gospel. Amen.</w:t>
      </w:r>
    </w:p>
    <w:p/>
    <w:p>
      <w:pPr>
        <w:pStyle w:val="SmallNote"/>
        <w:jc w:val="center"/>
      </w:pPr>
      <w: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5A50"/>
        <w:sz w:val="17"/>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2C1B13"/>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6E4B2A"/>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eastAsia="Aptos"/>
      <w:b/>
      <w:bCs/>
      <w:color w:val="803D2C"/>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eastAsia="Georgia"/>
      <w:b/>
      <w:color w:val="2C1B13"/>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rPr>
      <w:rFonts w:ascii="Aptos" w:hAnsi="Aptos" w:eastAsia="Aptos"/>
      <w:color w:val="645A5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Christ Alone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