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4E320A"/>
          <w:sz w:val="40"/>
        </w:rPr>
        <w:t>This Is the Day the Lord Hath Made</w:t>
      </w:r>
    </w:p>
    <w:p>
      <w:pPr>
        <w:jc w:val="center"/>
      </w:pPr>
      <w:r>
        <w:rPr>
          <w:i/>
          <w:color w:val="645F50"/>
          <w:sz w:val="20"/>
        </w:rPr>
        <w:t>Sermon Outline</w:t>
      </w:r>
    </w:p>
    <w:p>
      <w:pPr>
        <w:jc w:val="center"/>
      </w:pPr>
      <w:r>
        <w:rPr>
          <w:color w:val="826428"/>
          <w:sz w:val="18"/>
        </w:rPr>
        <w:t>Psalm 118:22-26 | Christ the Cornerstone | Resurrection Joy</w:t>
      </w:r>
    </w:p>
    <w:p>
      <w:pPr>
        <w:pStyle w:val="Heading2"/>
      </w:pPr>
      <w:r>
        <w:t>Sermon Title</w:t>
      </w:r>
    </w:p>
    <w:p>
      <w:r>
        <w:t>The Day God Made: Rejoicing in the Risen Cornerstone</w:t>
      </w:r>
    </w:p>
    <w:p>
      <w:pPr>
        <w:pStyle w:val="Heading2"/>
      </w:pPr>
      <w:r>
        <w:t>Main Text and Supporting Scriptures</w:t>
      </w:r>
    </w:p>
    <w:p>
      <w:pPr>
        <w:pStyle w:val="ListBullet"/>
        <w:spacing w:after="30"/>
        <w:ind w:left="317"/>
      </w:pPr>
      <w:r>
        <w:t>Main Text: Psalm 118:22-26</w:t>
      </w:r>
    </w:p>
    <w:p>
      <w:pPr>
        <w:pStyle w:val="ListBullet"/>
        <w:spacing w:after="30"/>
        <w:ind w:left="317"/>
      </w:pPr>
      <w:r>
        <w:t>Supporting Texts: Acts 4:10-11; Matthew 21:9, 42</w:t>
      </w:r>
    </w:p>
    <w:p>
      <w:pPr>
        <w:pStyle w:val="Heading2"/>
      </w:pPr>
      <w:r>
        <w:t>Big Idea</w:t>
      </w:r>
    </w:p>
    <w:p>
      <w:r>
        <w:rPr>
          <w:b/>
        </w:rPr>
        <w:t>Because God raised the rejected Christ and made him the cornerstone, the church can rejoice, pray, and worship with resurrection confidence.</w:t>
      </w:r>
    </w:p>
    <w:p>
      <w:pPr>
        <w:pStyle w:val="Heading2"/>
      </w:pPr>
      <w:r>
        <w:t>Introduction</w:t>
      </w:r>
    </w:p>
    <w:p>
      <w:r>
        <w:t>Many people know the opening line as a cheerful sentence for a new morning. Isaac Watts gives it deeper weight. The “day” is the day of God’s saving victory, the day when the rejected stone becomes the cornerstone, and the day when the church learns to rejoice because Christ lives.</w:t>
      </w:r>
    </w:p>
    <w:p>
      <w:pPr>
        <w:pStyle w:val="Heading2"/>
      </w:pPr>
      <w:r>
        <w:t>1. Rejoice because the Lord has acted.</w:t>
      </w:r>
    </w:p>
    <w:p>
      <w:r>
        <w:rPr>
          <w:b/>
        </w:rPr>
        <w:t xml:space="preserve">Explanation: </w:t>
      </w:r>
      <w:r>
        <w:t>Psalm 118 declares that the day of rejoicing is the Lord’s doing. Christian joy begins with God’s initiative, not human mood or favorable circumstances.</w:t>
      </w:r>
    </w:p>
    <w:p>
      <w:r>
        <w:rPr>
          <w:b/>
        </w:rPr>
        <w:t xml:space="preserve">Hymn connection: </w:t>
      </w:r>
      <w:r>
        <w:t>The hymn opens with a summons for heaven and earth to be glad, because the hours belong to the Lord.</w:t>
      </w:r>
    </w:p>
    <w:p>
      <w:r>
        <w:rPr>
          <w:b/>
        </w:rPr>
        <w:t xml:space="preserve">Biblical support: </w:t>
      </w:r>
      <w:r>
        <w:t>Psalm 118:24; Revelation’s worship scenes may be used as a supporting picture of creation praising God.</w:t>
      </w:r>
    </w:p>
    <w:p>
      <w:r>
        <w:rPr>
          <w:b/>
        </w:rPr>
        <w:t xml:space="preserve">Illustration idea: </w:t>
      </w:r>
      <w:r>
        <w:t>A church bell rings not because everyone feels ready, but because worship is due to God.</w:t>
      </w:r>
    </w:p>
    <w:p>
      <w:r>
        <w:rPr>
          <w:b/>
        </w:rPr>
        <w:t xml:space="preserve">Application: </w:t>
      </w:r>
      <w:r>
        <w:t>Call the congregation to begin worship from God’s action in Christ rather than from the measure of their own feelings.</w:t>
      </w:r>
    </w:p>
    <w:p>
      <w:pPr>
        <w:pStyle w:val="Heading2"/>
      </w:pPr>
      <w:r>
        <w:t>2. Trust the rejected stone made cornerstone.</w:t>
      </w:r>
    </w:p>
    <w:p>
      <w:r>
        <w:rPr>
          <w:b/>
        </w:rPr>
        <w:t xml:space="preserve">Explanation: </w:t>
      </w:r>
      <w:r>
        <w:t>The heart of Psalm 118 is reversal. What human builders rejected, God established as the foundation. The New Testament applies this directly to Jesus.</w:t>
      </w:r>
    </w:p>
    <w:p>
      <w:r>
        <w:rPr>
          <w:b/>
        </w:rPr>
        <w:t xml:space="preserve">Hymn connection: </w:t>
      </w:r>
      <w:r>
        <w:t>Watts’s hymn turns this cornerstone promise into Easter praise.</w:t>
      </w:r>
    </w:p>
    <w:p>
      <w:r>
        <w:rPr>
          <w:b/>
        </w:rPr>
        <w:t xml:space="preserve">Biblical support: </w:t>
      </w:r>
      <w:r>
        <w:t>Psalm 118:22-23; Matthew 21:42; Acts 4:10-11.</w:t>
      </w:r>
    </w:p>
    <w:p>
      <w:r>
        <w:rPr>
          <w:b/>
        </w:rPr>
        <w:t xml:space="preserve">Illustration idea: </w:t>
      </w:r>
      <w:r>
        <w:t>A stone discarded at a building site may become the very piece needed to bear the structure.</w:t>
      </w:r>
    </w:p>
    <w:p>
      <w:r>
        <w:rPr>
          <w:b/>
        </w:rPr>
        <w:t xml:space="preserve">Application: </w:t>
      </w:r>
      <w:r>
        <w:t>Address those who feel rejected, overlooked, or confused by suffering: God’s saving work often overturns human judgment.</w:t>
      </w:r>
    </w:p>
    <w:p>
      <w:pPr>
        <w:pStyle w:val="Heading2"/>
      </w:pPr>
      <w:r>
        <w:t>3. Cry Hosanna to the King who saves.</w:t>
      </w:r>
    </w:p>
    <w:p>
      <w:r>
        <w:rPr>
          <w:b/>
        </w:rPr>
        <w:t xml:space="preserve">Explanation: </w:t>
      </w:r>
      <w:r>
        <w:t>Psalm 118 includes the cry for the Lord to save. In the Gospels, that cry gathers around Jesus as David’s Son and coming King.</w:t>
      </w:r>
    </w:p>
    <w:p>
      <w:r>
        <w:rPr>
          <w:b/>
        </w:rPr>
        <w:t xml:space="preserve">Hymn connection: </w:t>
      </w:r>
      <w:r>
        <w:t>The hymn does not leave praise in general gratitude; it moves toward Christ the anointed King who brings salvation.</w:t>
      </w:r>
    </w:p>
    <w:p>
      <w:r>
        <w:rPr>
          <w:b/>
        </w:rPr>
        <w:t xml:space="preserve">Biblical support: </w:t>
      </w:r>
      <w:r>
        <w:t>Psalm 118:25-26; Matthew 21:9.</w:t>
      </w:r>
    </w:p>
    <w:p>
      <w:r>
        <w:rPr>
          <w:b/>
        </w:rPr>
        <w:t xml:space="preserve">Illustration idea: </w:t>
      </w:r>
      <w:r>
        <w:t>A crowd may shout praise without understanding its full meaning; Jesus fulfills the cry more deeply than the crowd knew.</w:t>
      </w:r>
    </w:p>
    <w:p>
      <w:r>
        <w:rPr>
          <w:b/>
        </w:rPr>
        <w:t xml:space="preserve">Application: </w:t>
      </w:r>
      <w:r>
        <w:t>Invite hearers to turn praise into dependence: “Save us, Lord” is a fitting prayer for believers and seekers alike.</w:t>
      </w:r>
    </w:p>
    <w:p>
      <w:pPr>
        <w:pStyle w:val="Heading2"/>
      </w:pPr>
      <w:r>
        <w:t>4. Join the praise of earth and heaven.</w:t>
      </w:r>
    </w:p>
    <w:p>
      <w:r>
        <w:rPr>
          <w:b/>
        </w:rPr>
        <w:t xml:space="preserve">Explanation: </w:t>
      </w:r>
      <w:r>
        <w:t>The hymn ends by lifting earthly worship toward the greater praise of heaven. Resurrection worship is rehearsal for eternal praise.</w:t>
      </w:r>
    </w:p>
    <w:p>
      <w:r>
        <w:rPr>
          <w:b/>
        </w:rPr>
        <w:t xml:space="preserve">Hymn connection: </w:t>
      </w:r>
      <w:r>
        <w:t>The final movement reminds the church that its present song is real, but not yet the final song.</w:t>
      </w:r>
    </w:p>
    <w:p>
      <w:r>
        <w:rPr>
          <w:b/>
        </w:rPr>
        <w:t xml:space="preserve">Biblical support: </w:t>
      </w:r>
      <w:r>
        <w:t>Psalm 118:26; Acts 4; the broader biblical witness to heavenly worship.</w:t>
      </w:r>
    </w:p>
    <w:p>
      <w:r>
        <w:rPr>
          <w:b/>
        </w:rPr>
        <w:t xml:space="preserve">Illustration idea: </w:t>
      </w:r>
      <w:r>
        <w:t>A choir rehearsal is not the concert, but it prepares the singers for it.</w:t>
      </w:r>
    </w:p>
    <w:p>
      <w:r>
        <w:rPr>
          <w:b/>
        </w:rPr>
        <w:t xml:space="preserve">Application: </w:t>
      </w:r>
      <w:r>
        <w:t>Encourage the weary, grieving, and joyful to sing now as those whose future is secured by the risen Christ.</w:t>
      </w:r>
    </w:p>
    <w:p>
      <w:pPr>
        <w:pStyle w:val="Heading2"/>
      </w:pPr>
      <w:r>
        <w:t>Gospel Connection</w:t>
      </w:r>
    </w:p>
    <w:p>
      <w:r>
        <w:t>The gospel is the Lord’s doing. Jesus was rejected, crucified, and raised. The resurrection declares that the crucified Christ is the cornerstone of salvation. The church’s joy is not self-made; it rests on the finished work and living reign of Christ.</w:t>
      </w:r>
    </w:p>
    <w:p>
      <w:pPr>
        <w:pStyle w:val="Heading2"/>
      </w:pPr>
      <w:r>
        <w:t>Pastoral Applications</w:t>
      </w:r>
    </w:p>
    <w:p>
      <w:pPr>
        <w:pStyle w:val="ListBullet"/>
        <w:spacing w:after="30"/>
        <w:ind w:left="317"/>
      </w:pPr>
      <w:r>
        <w:t>To the anxious: Christian joy is steadier than today’s circumstances because it rests on the risen Christ.</w:t>
      </w:r>
    </w:p>
    <w:p>
      <w:pPr>
        <w:pStyle w:val="ListBullet"/>
        <w:spacing w:after="30"/>
        <w:ind w:left="317"/>
      </w:pPr>
      <w:r>
        <w:t>To the weary: the Lord’s Day is not another duty first; it is a gift that re-centers the heart on God’s victory.</w:t>
      </w:r>
    </w:p>
    <w:p>
      <w:pPr>
        <w:pStyle w:val="ListBullet"/>
        <w:spacing w:after="30"/>
        <w:ind w:left="317"/>
      </w:pPr>
      <w:r>
        <w:t>To the doubting: the rejected stone was established by God; faith often sees what human judgment misses.</w:t>
      </w:r>
    </w:p>
    <w:p>
      <w:pPr>
        <w:pStyle w:val="ListBullet"/>
        <w:spacing w:after="30"/>
        <w:ind w:left="317"/>
      </w:pPr>
      <w:r>
        <w:t>To the joyful: let gladness become praise, not self-congratulation.</w:t>
      </w:r>
    </w:p>
    <w:p>
      <w:pPr>
        <w:pStyle w:val="ListBullet"/>
        <w:spacing w:after="30"/>
        <w:ind w:left="317"/>
      </w:pPr>
      <w:r>
        <w:t>To the congregation: worship should move from Scripture, to Christ, to grateful response.</w:t>
      </w:r>
    </w:p>
    <w:p>
      <w:pPr>
        <w:pStyle w:val="Heading2"/>
      </w:pPr>
      <w:r>
        <w:t>Conclusion and Call to Response</w:t>
      </w:r>
    </w:p>
    <w:p>
      <w:r>
        <w:t>This is the day the Lord has made because God has acted in Christ. The cornerstone stands. The King saves. The church sings. Therefore let us rejoice, not with shallow optimism, but with resurrection faith.</w:t>
      </w:r>
    </w:p>
    <w:p>
      <w:pPr>
        <w:pStyle w:val="Heading2"/>
      </w:pPr>
      <w:r>
        <w:t>Suggested Closing Prayer</w:t>
      </w:r>
    </w:p>
    <w:p>
      <w:r>
        <w:t>Father, you have made the rejected stone the cornerstone. Through the resurrection of Jesus Christ, teach us to rejoice in your saving work. Receive our Hosanna, strengthen our faith, and make our worship a faithful witness until earth and heaven join in perfect praise. Amen.</w:t>
      </w:r>
    </w:p>
    <w:p>
      <w:pPr>
        <w:spacing w:before="120"/>
        <w:jc w:val="center"/>
      </w:pPr>
      <w:r>
        <w:rPr>
          <w:color w:val="6E6450"/>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60"/>
      <w:outlineLvl w:val="0"/>
    </w:pPr>
    <w:rPr>
      <w:rFonts w:asciiTheme="majorHAnsi" w:eastAsiaTheme="majorEastAsia" w:hAnsiTheme="majorHAnsi" w:cstheme="majorBidi" w:ascii="Aptos Display" w:hAnsi="Aptos Display"/>
      <w:b/>
      <w:bCs/>
      <w:color w:val="5F3C0F"/>
      <w:sz w:val="34"/>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ascii="Aptos Display" w:hAnsi="Aptos Display"/>
      <w:b/>
      <w:bCs/>
      <w:color w:val="7D5018"/>
      <w:sz w:val="25"/>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Aptos" w:hAnsi="Aptos"/>
      <w:b/>
      <w:bCs/>
      <w:color w:val="5A411E"/>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Day the Lord Hath Made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