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4E320A"/>
          <w:sz w:val="40"/>
        </w:rPr>
        <w:t>This Is the Day the Lord Hath Made</w:t>
      </w:r>
    </w:p>
    <w:p>
      <w:pPr>
        <w:jc w:val="center"/>
      </w:pPr>
      <w:r>
        <w:rPr>
          <w:i/>
          <w:color w:val="645F50"/>
          <w:sz w:val="20"/>
        </w:rPr>
        <w:t>Small Group Handout</w:t>
      </w:r>
    </w:p>
    <w:p>
      <w:pPr>
        <w:jc w:val="center"/>
      </w:pPr>
      <w:r>
        <w:rPr>
          <w:color w:val="826428"/>
          <w:sz w:val="18"/>
        </w:rPr>
        <w:t>Psalm 118:22-26 | Christ the Cornerstone | Resurrection Joy</w:t>
      </w:r>
    </w:p>
    <w:p>
      <w:pPr>
        <w:jc w:val="center"/>
      </w:pPr>
      <w:r>
        <w:rPr>
          <w:b/>
          <w:sz w:val="18"/>
        </w:rPr>
        <w:t>Purpose: to see how Psalm 118 teaches Christian joy through Christ’s resurrection and reign.</w:t>
      </w:r>
    </w:p>
    <w:p>
      <w:pPr>
        <w:pStyle w:val="Heading2"/>
      </w:pPr>
      <w:r>
        <w:t>Opening Reflection</w:t>
      </w:r>
    </w:p>
    <w:p>
      <w:pPr>
        <w:spacing w:after="30"/>
        <w:ind w:left="259"/>
      </w:pPr>
      <w:r>
        <w:rPr>
          <w:b/>
        </w:rPr>
        <w:t xml:space="preserve">1. </w:t>
      </w:r>
      <w:r>
        <w:t>When have you heard this hymn used as a call to worship or Easter song?</w:t>
      </w:r>
    </w:p>
    <w:p>
      <w:pPr>
        <w:spacing w:after="30"/>
        <w:ind w:left="259"/>
      </w:pPr>
      <w:r>
        <w:rPr>
          <w:b/>
        </w:rPr>
        <w:t xml:space="preserve">2. </w:t>
      </w:r>
      <w:r>
        <w:t>What makes Christian joy different from ordinary optimism?</w:t>
      </w:r>
    </w:p>
    <w:p>
      <w:pPr>
        <w:spacing w:after="30"/>
        <w:ind w:left="259"/>
      </w:pPr>
      <w:r>
        <w:rPr>
          <w:b/>
        </w:rPr>
        <w:t xml:space="preserve">3. </w:t>
      </w:r>
      <w:r>
        <w:t>How does the resurrection of Christ change the way believers receive each day?</w:t>
      </w:r>
    </w:p>
    <w:p>
      <w:pPr>
        <w:pStyle w:val="Heading2"/>
      </w:pPr>
      <w:r>
        <w:t>Brief Hymn Background</w:t>
      </w:r>
    </w:p>
    <w:p>
      <w:r>
        <w:rPr>
          <w:b/>
        </w:rPr>
        <w:t xml:space="preserve">Isaac Watts </w:t>
      </w:r>
      <w:r>
        <w:t xml:space="preserve">published this Christian paraphrase of Psalm 118 in 1719 in </w:t>
      </w:r>
      <w:r>
        <w:rPr>
          <w:i/>
        </w:rPr>
        <w:t>The Psalms of David Imitated in the Language of the New Testament</w:t>
      </w:r>
      <w:r>
        <w:t>. Watts read the psalm in light of Christ, especially the rejected stone made cornerstone and the day of rejoicing. In many hymnals the text appears in common meter and may be sung to several familiar tunes. The United Methodist Hymnal pairs it with TWENTY-FOURTH, attributed to Lucius Chapin.</w:t>
      </w:r>
    </w:p>
    <w:p>
      <w:pPr>
        <w:pStyle w:val="Heading2"/>
      </w:pPr>
      <w:r>
        <w:t>Primary Scripture and Supporting Passages</w:t>
      </w:r>
    </w:p>
    <w:tbl>
      <w:tblPr>
        <w:tblW w:type="auto" w:w="0"/>
        <w:jc w:val="center"/>
        <w:tblLayout w:type="autofit"/>
        <w:tblLook w:firstColumn="1" w:firstRow="1" w:lastColumn="0" w:lastRow="0" w:noHBand="0" w:noVBand="1" w:val="04A0"/>
      </w:tblPr>
      <w:tblGrid>
        <w:gridCol w:w="5227"/>
        <w:gridCol w:w="5227"/>
      </w:tblGrid>
      <w:tr>
        <w:tc>
          <w:tcPr>
            <w:tcW w:type="dxa" w:w="5227"/>
            <w:shd w:fill="F4E6C2"/>
            <w:tcBorders>
              <w:top w:val="single" w:sz="4" w:space="0" w:color="D6B56D"/>
              <w:left w:val="single" w:sz="4" w:space="0" w:color="D6B56D"/>
              <w:bottom w:val="single" w:sz="4" w:space="0" w:color="D6B56D"/>
              <w:right w:val="single" w:sz="4" w:space="0" w:color="D6B56D"/>
            </w:tcBorders>
          </w:tcPr>
          <w:p>
            <w:r>
              <w:rPr>
                <w:b/>
                <w:sz w:val="17"/>
              </w:rPr>
              <w:t>Passage</w:t>
            </w:r>
          </w:p>
        </w:tc>
        <w:tc>
          <w:tcPr>
            <w:tcW w:type="dxa" w:w="5227"/>
            <w:shd w:fill="F4E6C2"/>
            <w:tcBorders>
              <w:top w:val="single" w:sz="4" w:space="0" w:color="D6B56D"/>
              <w:left w:val="single" w:sz="4" w:space="0" w:color="D6B56D"/>
              <w:bottom w:val="single" w:sz="4" w:space="0" w:color="D6B56D"/>
              <w:right w:val="single" w:sz="4" w:space="0" w:color="D6B56D"/>
            </w:tcBorders>
          </w:tcPr>
          <w:p>
            <w:r>
              <w:rPr>
                <w:b/>
                <w:sz w:val="17"/>
              </w:rPr>
              <w:t>Teaching Connection</w:t>
            </w:r>
          </w:p>
        </w:tc>
      </w:tr>
      <w:tr>
        <w:tc>
          <w:tcPr>
            <w:tcW w:type="dxa" w:w="5227"/>
            <w:tcBorders>
              <w:top w:val="single" w:sz="4" w:space="0" w:color="E3D6B9"/>
              <w:left w:val="single" w:sz="4" w:space="0" w:color="E3D6B9"/>
              <w:bottom w:val="single" w:sz="4" w:space="0" w:color="E3D6B9"/>
              <w:right w:val="single" w:sz="4" w:space="0" w:color="E3D6B9"/>
            </w:tcBorders>
            <w:vAlign w:val="top"/>
          </w:tcPr>
          <w:p>
            <w:r>
              <w:rPr>
                <w:sz w:val="17"/>
              </w:rPr>
              <w:t>Psalm 118:22-26</w:t>
            </w:r>
          </w:p>
        </w:tc>
        <w:tc>
          <w:tcPr>
            <w:tcW w:type="dxa" w:w="5227"/>
            <w:tcBorders>
              <w:top w:val="single" w:sz="4" w:space="0" w:color="E3D6B9"/>
              <w:left w:val="single" w:sz="4" w:space="0" w:color="E3D6B9"/>
              <w:bottom w:val="single" w:sz="4" w:space="0" w:color="E3D6B9"/>
              <w:right w:val="single" w:sz="4" w:space="0" w:color="E3D6B9"/>
            </w:tcBorders>
            <w:vAlign w:val="top"/>
          </w:tcPr>
          <w:p>
            <w:r>
              <w:rPr>
                <w:sz w:val="17"/>
              </w:rPr>
              <w:t>The day of rejoicing, the cornerstone, and the cry for salvation.</w:t>
            </w:r>
          </w:p>
        </w:tc>
      </w:tr>
      <w:tr>
        <w:tc>
          <w:tcPr>
            <w:tcW w:type="dxa" w:w="5227"/>
            <w:tcBorders>
              <w:top w:val="single" w:sz="4" w:space="0" w:color="E3D6B9"/>
              <w:left w:val="single" w:sz="4" w:space="0" w:color="E3D6B9"/>
              <w:bottom w:val="single" w:sz="4" w:space="0" w:color="E3D6B9"/>
              <w:right w:val="single" w:sz="4" w:space="0" w:color="E3D6B9"/>
            </w:tcBorders>
            <w:vAlign w:val="top"/>
          </w:tcPr>
          <w:p>
            <w:r>
              <w:rPr>
                <w:sz w:val="17"/>
              </w:rPr>
              <w:t>Matthew 21:9, 42</w:t>
            </w:r>
          </w:p>
        </w:tc>
        <w:tc>
          <w:tcPr>
            <w:tcW w:type="dxa" w:w="5227"/>
            <w:tcBorders>
              <w:top w:val="single" w:sz="4" w:space="0" w:color="E3D6B9"/>
              <w:left w:val="single" w:sz="4" w:space="0" w:color="E3D6B9"/>
              <w:bottom w:val="single" w:sz="4" w:space="0" w:color="E3D6B9"/>
              <w:right w:val="single" w:sz="4" w:space="0" w:color="E3D6B9"/>
            </w:tcBorders>
            <w:vAlign w:val="top"/>
          </w:tcPr>
          <w:p>
            <w:r>
              <w:rPr>
                <w:sz w:val="17"/>
              </w:rPr>
              <w:t>Jesus receives the Hosanna cry and applies the cornerstone text to himself.</w:t>
            </w:r>
          </w:p>
        </w:tc>
      </w:tr>
      <w:tr>
        <w:tc>
          <w:tcPr>
            <w:tcW w:type="dxa" w:w="5227"/>
            <w:tcBorders>
              <w:top w:val="single" w:sz="4" w:space="0" w:color="E3D6B9"/>
              <w:left w:val="single" w:sz="4" w:space="0" w:color="E3D6B9"/>
              <w:bottom w:val="single" w:sz="4" w:space="0" w:color="E3D6B9"/>
              <w:right w:val="single" w:sz="4" w:space="0" w:color="E3D6B9"/>
            </w:tcBorders>
            <w:vAlign w:val="top"/>
          </w:tcPr>
          <w:p>
            <w:r>
              <w:rPr>
                <w:sz w:val="17"/>
              </w:rPr>
              <w:t>Acts 4:10-11</w:t>
            </w:r>
          </w:p>
        </w:tc>
        <w:tc>
          <w:tcPr>
            <w:tcW w:type="dxa" w:w="5227"/>
            <w:tcBorders>
              <w:top w:val="single" w:sz="4" w:space="0" w:color="E3D6B9"/>
              <w:left w:val="single" w:sz="4" w:space="0" w:color="E3D6B9"/>
              <w:bottom w:val="single" w:sz="4" w:space="0" w:color="E3D6B9"/>
              <w:right w:val="single" w:sz="4" w:space="0" w:color="E3D6B9"/>
            </w:tcBorders>
            <w:vAlign w:val="top"/>
          </w:tcPr>
          <w:p>
            <w:r>
              <w:rPr>
                <w:sz w:val="17"/>
              </w:rPr>
              <w:t>The apostles proclaim the crucified and risen Jesus as the rejected stone now made cornerstone.</w:t>
            </w:r>
          </w:p>
        </w:tc>
      </w:tr>
    </w:tbl>
    <w:p>
      <w:pPr>
        <w:pStyle w:val="Heading2"/>
      </w:pPr>
      <w:r>
        <w:t>Stanza Study</w:t>
      </w:r>
    </w:p>
    <w:p>
      <w:pPr>
        <w:spacing w:after="30"/>
      </w:pPr>
      <w:r>
        <w:rPr>
          <w:b/>
        </w:rPr>
        <w:t xml:space="preserve">Opening praise: </w:t>
      </w:r>
      <w:r>
        <w:t>The first movement calls heaven and earth to rejoice before God. In Watts’s setting, this gladness is tied to the Lord’s saving work, not merely to a pleasant day.</w:t>
      </w:r>
    </w:p>
    <w:p>
      <w:pPr>
        <w:spacing w:after="30"/>
      </w:pPr>
      <w:r>
        <w:rPr>
          <w:b/>
        </w:rPr>
        <w:t xml:space="preserve">Resurrection victory: </w:t>
      </w:r>
      <w:r>
        <w:t>The second movement brings Easter into the psalm. Christ’s rising turns the “day” into a proclamation of victory over sin, death, and every power opposed to God.</w:t>
      </w:r>
    </w:p>
    <w:p>
      <w:pPr>
        <w:spacing w:after="30"/>
      </w:pPr>
      <w:r>
        <w:rPr>
          <w:b/>
        </w:rPr>
        <w:t xml:space="preserve">Hosanna prayer: </w:t>
      </w:r>
      <w:r>
        <w:t>The third movement takes up the biblical cry for salvation. Praise becomes petition: the church asks the Lord to bring salvation from his throne.</w:t>
      </w:r>
    </w:p>
    <w:p>
      <w:pPr>
        <w:spacing w:after="30"/>
      </w:pPr>
      <w:r>
        <w:rPr>
          <w:b/>
        </w:rPr>
        <w:t xml:space="preserve">Grace through the coming King: </w:t>
      </w:r>
      <w:r>
        <w:t>The fourth movement blesses the One who comes in the Father’s name. Christ comes with grace for sinners, not merely with moral instruction.</w:t>
      </w:r>
    </w:p>
    <w:p>
      <w:pPr>
        <w:spacing w:after="30"/>
      </w:pPr>
      <w:r>
        <w:rPr>
          <w:b/>
        </w:rPr>
        <w:t xml:space="preserve">Earth and heaven joined: </w:t>
      </w:r>
      <w:r>
        <w:t>The final movement lifts the church’s praise toward the greater praise of heaven. Worship here anticipates worship there.</w:t>
      </w:r>
    </w:p>
    <w:p>
      <w:r>
        <w:br w:type="page"/>
      </w:r>
    </w:p>
    <w:p>
      <w:pPr>
        <w:pStyle w:val="Heading2"/>
      </w:pPr>
      <w:r>
        <w:t>Study Table</w:t>
      </w:r>
    </w:p>
    <w:tbl>
      <w:tblPr>
        <w:tblW w:type="auto" w:w="0"/>
        <w:jc w:val="center"/>
        <w:tblLook w:firstColumn="1" w:firstRow="1" w:lastColumn="0" w:lastRow="0" w:noHBand="0" w:noVBand="1" w:val="04A0"/>
      </w:tblPr>
      <w:tblGrid>
        <w:gridCol w:w="3485"/>
        <w:gridCol w:w="3485"/>
        <w:gridCol w:w="3485"/>
      </w:tblGrid>
      <w:tr>
        <w:tc>
          <w:tcPr>
            <w:tcW w:type="dxa" w:w="3485"/>
            <w:shd w:fill="F4E6C2"/>
            <w:tcBorders>
              <w:top w:val="single" w:sz="4" w:space="0" w:color="D6B56D"/>
              <w:left w:val="single" w:sz="4" w:space="0" w:color="D6B56D"/>
              <w:bottom w:val="single" w:sz="4" w:space="0" w:color="D6B56D"/>
              <w:right w:val="single" w:sz="4" w:space="0" w:color="D6B56D"/>
            </w:tcBorders>
          </w:tcPr>
          <w:p>
            <w:r>
              <w:t>Hymn Theme</w:t>
            </w:r>
          </w:p>
        </w:tc>
        <w:tc>
          <w:tcPr>
            <w:tcW w:type="dxa" w:w="3485"/>
            <w:shd w:fill="F4E6C2"/>
            <w:tcBorders>
              <w:top w:val="single" w:sz="4" w:space="0" w:color="D6B56D"/>
              <w:left w:val="single" w:sz="4" w:space="0" w:color="D6B56D"/>
              <w:bottom w:val="single" w:sz="4" w:space="0" w:color="D6B56D"/>
              <w:right w:val="single" w:sz="4" w:space="0" w:color="D6B56D"/>
            </w:tcBorders>
          </w:tcPr>
          <w:p>
            <w:r>
              <w:t>Scripture Connection</w:t>
            </w:r>
          </w:p>
        </w:tc>
        <w:tc>
          <w:tcPr>
            <w:tcW w:type="dxa" w:w="3485"/>
            <w:shd w:fill="F4E6C2"/>
            <w:tcBorders>
              <w:top w:val="single" w:sz="4" w:space="0" w:color="D6B56D"/>
              <w:left w:val="single" w:sz="4" w:space="0" w:color="D6B56D"/>
              <w:bottom w:val="single" w:sz="4" w:space="0" w:color="D6B56D"/>
              <w:right w:val="single" w:sz="4" w:space="0" w:color="D6B56D"/>
            </w:tcBorders>
          </w:tcPr>
          <w:p>
            <w:r>
              <w:t>Discussion Prompt</w:t>
            </w:r>
          </w:p>
        </w:tc>
      </w:tr>
      <w:tr>
        <w:tc>
          <w:tcPr>
            <w:tcW w:type="dxa" w:w="3485"/>
            <w:tcBorders>
              <w:top w:val="single" w:sz="4" w:space="0" w:color="E3D6B9"/>
              <w:left w:val="single" w:sz="4" w:space="0" w:color="E3D6B9"/>
              <w:bottom w:val="single" w:sz="4" w:space="0" w:color="E3D6B9"/>
              <w:right w:val="single" w:sz="4" w:space="0" w:color="E3D6B9"/>
            </w:tcBorders>
          </w:tcPr>
          <w:p>
            <w:r>
              <w:rPr>
                <w:sz w:val="15"/>
              </w:rPr>
              <w:t>The Lord’s day</w:t>
            </w:r>
          </w:p>
        </w:tc>
        <w:tc>
          <w:tcPr>
            <w:tcW w:type="dxa" w:w="3485"/>
            <w:tcBorders>
              <w:top w:val="single" w:sz="4" w:space="0" w:color="E3D6B9"/>
              <w:left w:val="single" w:sz="4" w:space="0" w:color="E3D6B9"/>
              <w:bottom w:val="single" w:sz="4" w:space="0" w:color="E3D6B9"/>
              <w:right w:val="single" w:sz="4" w:space="0" w:color="E3D6B9"/>
            </w:tcBorders>
          </w:tcPr>
          <w:p>
            <w:r>
              <w:rPr>
                <w:sz w:val="15"/>
              </w:rPr>
              <w:t>Psalm 118:24</w:t>
            </w:r>
          </w:p>
        </w:tc>
        <w:tc>
          <w:tcPr>
            <w:tcW w:type="dxa" w:w="3485"/>
            <w:tcBorders>
              <w:top w:val="single" w:sz="4" w:space="0" w:color="E3D6B9"/>
              <w:left w:val="single" w:sz="4" w:space="0" w:color="E3D6B9"/>
              <w:bottom w:val="single" w:sz="4" w:space="0" w:color="E3D6B9"/>
              <w:right w:val="single" w:sz="4" w:space="0" w:color="E3D6B9"/>
            </w:tcBorders>
          </w:tcPr>
          <w:p>
            <w:r>
              <w:rPr>
                <w:sz w:val="15"/>
              </w:rPr>
              <w:t>What makes this day worthy of rejoicing?</w:t>
            </w:r>
          </w:p>
        </w:tc>
      </w:tr>
      <w:tr>
        <w:tc>
          <w:tcPr>
            <w:tcW w:type="dxa" w:w="3485"/>
            <w:tcBorders>
              <w:top w:val="single" w:sz="4" w:space="0" w:color="E3D6B9"/>
              <w:left w:val="single" w:sz="4" w:space="0" w:color="E3D6B9"/>
              <w:bottom w:val="single" w:sz="4" w:space="0" w:color="E3D6B9"/>
              <w:right w:val="single" w:sz="4" w:space="0" w:color="E3D6B9"/>
            </w:tcBorders>
          </w:tcPr>
          <w:p>
            <w:r>
              <w:rPr>
                <w:sz w:val="15"/>
              </w:rPr>
              <w:t>Rejected stone</w:t>
            </w:r>
          </w:p>
        </w:tc>
        <w:tc>
          <w:tcPr>
            <w:tcW w:type="dxa" w:w="3485"/>
            <w:tcBorders>
              <w:top w:val="single" w:sz="4" w:space="0" w:color="E3D6B9"/>
              <w:left w:val="single" w:sz="4" w:space="0" w:color="E3D6B9"/>
              <w:bottom w:val="single" w:sz="4" w:space="0" w:color="E3D6B9"/>
              <w:right w:val="single" w:sz="4" w:space="0" w:color="E3D6B9"/>
            </w:tcBorders>
          </w:tcPr>
          <w:p>
            <w:r>
              <w:rPr>
                <w:sz w:val="15"/>
              </w:rPr>
              <w:t>Psalm 118:22; Acts 4:11</w:t>
            </w:r>
          </w:p>
        </w:tc>
        <w:tc>
          <w:tcPr>
            <w:tcW w:type="dxa" w:w="3485"/>
            <w:tcBorders>
              <w:top w:val="single" w:sz="4" w:space="0" w:color="E3D6B9"/>
              <w:left w:val="single" w:sz="4" w:space="0" w:color="E3D6B9"/>
              <w:bottom w:val="single" w:sz="4" w:space="0" w:color="E3D6B9"/>
              <w:right w:val="single" w:sz="4" w:space="0" w:color="E3D6B9"/>
            </w:tcBorders>
          </w:tcPr>
          <w:p>
            <w:r>
              <w:rPr>
                <w:sz w:val="15"/>
              </w:rPr>
              <w:t>Where do we still see God overturning human judgment?</w:t>
            </w:r>
          </w:p>
        </w:tc>
      </w:tr>
      <w:tr>
        <w:tc>
          <w:tcPr>
            <w:tcW w:type="dxa" w:w="3485"/>
            <w:tcBorders>
              <w:top w:val="single" w:sz="4" w:space="0" w:color="E3D6B9"/>
              <w:left w:val="single" w:sz="4" w:space="0" w:color="E3D6B9"/>
              <w:bottom w:val="single" w:sz="4" w:space="0" w:color="E3D6B9"/>
              <w:right w:val="single" w:sz="4" w:space="0" w:color="E3D6B9"/>
            </w:tcBorders>
          </w:tcPr>
          <w:p>
            <w:r>
              <w:rPr>
                <w:sz w:val="15"/>
              </w:rPr>
              <w:t>Resurrection triumph</w:t>
            </w:r>
          </w:p>
        </w:tc>
        <w:tc>
          <w:tcPr>
            <w:tcW w:type="dxa" w:w="3485"/>
            <w:tcBorders>
              <w:top w:val="single" w:sz="4" w:space="0" w:color="E3D6B9"/>
              <w:left w:val="single" w:sz="4" w:space="0" w:color="E3D6B9"/>
              <w:bottom w:val="single" w:sz="4" w:space="0" w:color="E3D6B9"/>
              <w:right w:val="single" w:sz="4" w:space="0" w:color="E3D6B9"/>
            </w:tcBorders>
          </w:tcPr>
          <w:p>
            <w:r>
              <w:rPr>
                <w:sz w:val="15"/>
              </w:rPr>
              <w:t>Acts 4:10</w:t>
            </w:r>
          </w:p>
        </w:tc>
        <w:tc>
          <w:tcPr>
            <w:tcW w:type="dxa" w:w="3485"/>
            <w:tcBorders>
              <w:top w:val="single" w:sz="4" w:space="0" w:color="E3D6B9"/>
              <w:left w:val="single" w:sz="4" w:space="0" w:color="E3D6B9"/>
              <w:bottom w:val="single" w:sz="4" w:space="0" w:color="E3D6B9"/>
              <w:right w:val="single" w:sz="4" w:space="0" w:color="E3D6B9"/>
            </w:tcBorders>
          </w:tcPr>
          <w:p>
            <w:r>
              <w:rPr>
                <w:sz w:val="15"/>
              </w:rPr>
              <w:t>How does Easter reshape Christian worship?</w:t>
            </w:r>
          </w:p>
        </w:tc>
      </w:tr>
      <w:tr>
        <w:tc>
          <w:tcPr>
            <w:tcW w:type="dxa" w:w="3485"/>
            <w:tcBorders>
              <w:top w:val="single" w:sz="4" w:space="0" w:color="E3D6B9"/>
              <w:left w:val="single" w:sz="4" w:space="0" w:color="E3D6B9"/>
              <w:bottom w:val="single" w:sz="4" w:space="0" w:color="E3D6B9"/>
              <w:right w:val="single" w:sz="4" w:space="0" w:color="E3D6B9"/>
            </w:tcBorders>
          </w:tcPr>
          <w:p>
            <w:r>
              <w:rPr>
                <w:sz w:val="15"/>
              </w:rPr>
              <w:t>Hosanna and grace</w:t>
            </w:r>
          </w:p>
        </w:tc>
        <w:tc>
          <w:tcPr>
            <w:tcW w:type="dxa" w:w="3485"/>
            <w:tcBorders>
              <w:top w:val="single" w:sz="4" w:space="0" w:color="E3D6B9"/>
              <w:left w:val="single" w:sz="4" w:space="0" w:color="E3D6B9"/>
              <w:bottom w:val="single" w:sz="4" w:space="0" w:color="E3D6B9"/>
              <w:right w:val="single" w:sz="4" w:space="0" w:color="E3D6B9"/>
            </w:tcBorders>
          </w:tcPr>
          <w:p>
            <w:r>
              <w:rPr>
                <w:sz w:val="15"/>
              </w:rPr>
              <w:t>Matthew 21:9</w:t>
            </w:r>
          </w:p>
        </w:tc>
        <w:tc>
          <w:tcPr>
            <w:tcW w:type="dxa" w:w="3485"/>
            <w:tcBorders>
              <w:top w:val="single" w:sz="4" w:space="0" w:color="E3D6B9"/>
              <w:left w:val="single" w:sz="4" w:space="0" w:color="E3D6B9"/>
              <w:bottom w:val="single" w:sz="4" w:space="0" w:color="E3D6B9"/>
              <w:right w:val="single" w:sz="4" w:space="0" w:color="E3D6B9"/>
            </w:tcBorders>
          </w:tcPr>
          <w:p>
            <w:r>
              <w:rPr>
                <w:sz w:val="15"/>
              </w:rPr>
              <w:t>How do praise and dependence belong together?</w:t>
            </w:r>
          </w:p>
        </w:tc>
      </w:tr>
      <w:tr>
        <w:tc>
          <w:tcPr>
            <w:tcW w:type="dxa" w:w="3485"/>
            <w:tcBorders>
              <w:top w:val="single" w:sz="4" w:space="0" w:color="E3D6B9"/>
              <w:left w:val="single" w:sz="4" w:space="0" w:color="E3D6B9"/>
              <w:bottom w:val="single" w:sz="4" w:space="0" w:color="E3D6B9"/>
              <w:right w:val="single" w:sz="4" w:space="0" w:color="E3D6B9"/>
            </w:tcBorders>
          </w:tcPr>
          <w:p>
            <w:r>
              <w:rPr>
                <w:sz w:val="15"/>
              </w:rPr>
              <w:t>Heavenly praise</w:t>
            </w:r>
          </w:p>
        </w:tc>
        <w:tc>
          <w:tcPr>
            <w:tcW w:type="dxa" w:w="3485"/>
            <w:tcBorders>
              <w:top w:val="single" w:sz="4" w:space="0" w:color="E3D6B9"/>
              <w:left w:val="single" w:sz="4" w:space="0" w:color="E3D6B9"/>
              <w:bottom w:val="single" w:sz="4" w:space="0" w:color="E3D6B9"/>
              <w:right w:val="single" w:sz="4" w:space="0" w:color="E3D6B9"/>
            </w:tcBorders>
          </w:tcPr>
          <w:p>
            <w:r>
              <w:rPr>
                <w:sz w:val="15"/>
              </w:rPr>
              <w:t>Psalm 118; Revelation worship imagery</w:t>
            </w:r>
          </w:p>
        </w:tc>
        <w:tc>
          <w:tcPr>
            <w:tcW w:type="dxa" w:w="3485"/>
            <w:tcBorders>
              <w:top w:val="single" w:sz="4" w:space="0" w:color="E3D6B9"/>
              <w:left w:val="single" w:sz="4" w:space="0" w:color="E3D6B9"/>
              <w:bottom w:val="single" w:sz="4" w:space="0" w:color="E3D6B9"/>
              <w:right w:val="single" w:sz="4" w:space="0" w:color="E3D6B9"/>
            </w:tcBorders>
          </w:tcPr>
          <w:p>
            <w:r>
              <w:rPr>
                <w:sz w:val="15"/>
              </w:rPr>
              <w:t>How does worship train us for eternity?</w:t>
            </w:r>
          </w:p>
        </w:tc>
      </w:tr>
    </w:tbl>
    <w:p>
      <w:pPr>
        <w:pStyle w:val="Heading2"/>
      </w:pPr>
      <w:r>
        <w:t>Discussion Questions</w:t>
      </w:r>
    </w:p>
    <w:p>
      <w:pPr>
        <w:spacing w:after="30"/>
        <w:ind w:left="259"/>
      </w:pPr>
      <w:r>
        <w:rPr>
          <w:b/>
        </w:rPr>
        <w:t xml:space="preserve">1. </w:t>
      </w:r>
      <w:r>
        <w:t>What does Psalm 118 mean by “the stone which the builders rejected”?</w:t>
      </w:r>
    </w:p>
    <w:p>
      <w:pPr>
        <w:spacing w:after="30"/>
        <w:ind w:left="259"/>
      </w:pPr>
      <w:r>
        <w:rPr>
          <w:b/>
        </w:rPr>
        <w:t xml:space="preserve">2. </w:t>
      </w:r>
      <w:r>
        <w:t>Why does the New Testament connect this psalm to Jesus?</w:t>
      </w:r>
    </w:p>
    <w:p>
      <w:pPr>
        <w:spacing w:after="30"/>
        <w:ind w:left="259"/>
      </w:pPr>
      <w:r>
        <w:rPr>
          <w:b/>
        </w:rPr>
        <w:t xml:space="preserve">3. </w:t>
      </w:r>
      <w:r>
        <w:t>How does this hymn correct a shallow reading of “this is the day” as only general encouragement?</w:t>
      </w:r>
    </w:p>
    <w:p>
      <w:pPr>
        <w:spacing w:after="30"/>
        <w:ind w:left="259"/>
      </w:pPr>
      <w:r>
        <w:rPr>
          <w:b/>
        </w:rPr>
        <w:t xml:space="preserve">4. </w:t>
      </w:r>
      <w:r>
        <w:t>What forms of joy are grounded in Christ rather than in changing circumstances?</w:t>
      </w:r>
    </w:p>
    <w:p>
      <w:pPr>
        <w:spacing w:after="30"/>
        <w:ind w:left="259"/>
      </w:pPr>
      <w:r>
        <w:rPr>
          <w:b/>
        </w:rPr>
        <w:t xml:space="preserve">5. </w:t>
      </w:r>
      <w:r>
        <w:t>How can a church sing this hymn well during Eastertide or on the Lord’s Day?</w:t>
      </w:r>
    </w:p>
    <w:p>
      <w:pPr>
        <w:spacing w:after="30"/>
        <w:ind w:left="259"/>
      </w:pPr>
      <w:r>
        <w:rPr>
          <w:b/>
        </w:rPr>
        <w:t xml:space="preserve">6. </w:t>
      </w:r>
      <w:r>
        <w:t>Where do you need to respond with thanksgiving because God has acted in Christ?</w:t>
      </w:r>
    </w:p>
    <w:p>
      <w:pPr>
        <w:spacing w:after="30"/>
        <w:ind w:left="259"/>
      </w:pPr>
      <w:r>
        <w:rPr>
          <w:b/>
        </w:rPr>
        <w:t xml:space="preserve">7. </w:t>
      </w:r>
      <w:r>
        <w:t>How can this hymn help children, youth, or new believers understand resurrection praise?</w:t>
      </w:r>
    </w:p>
    <w:p>
      <w:pPr>
        <w:pStyle w:val="Heading2"/>
      </w:pPr>
      <w:r>
        <w:t>Practice This Week</w:t>
      </w:r>
    </w:p>
    <w:p>
      <w:pPr>
        <w:pStyle w:val="ListBullet"/>
        <w:spacing w:after="30"/>
        <w:ind w:left="317"/>
      </w:pPr>
      <w:r>
        <w:t>Read Psalm 118:22-26 each morning for three days and underline every word of reversal and rejoicing.</w:t>
      </w:r>
    </w:p>
    <w:p>
      <w:pPr>
        <w:pStyle w:val="ListBullet"/>
        <w:spacing w:after="30"/>
        <w:ind w:left="317"/>
      </w:pPr>
      <w:r>
        <w:t>Begin one day with spoken thanksgiving for Christ’s resurrection before asking God for anything else.</w:t>
      </w:r>
    </w:p>
    <w:p>
      <w:pPr>
        <w:pStyle w:val="ListBullet"/>
        <w:spacing w:after="30"/>
        <w:ind w:left="317"/>
      </w:pPr>
      <w:r>
        <w:t>Encourage one person by reminding them that Christian joy rests on God’s saving action, not on perfect circumstances.</w:t>
      </w:r>
    </w:p>
    <w:p>
      <w:pPr>
        <w:pStyle w:val="ListBullet"/>
        <w:spacing w:after="30"/>
        <w:ind w:left="317"/>
      </w:pPr>
      <w:r>
        <w:t>In prayer, name one place where you need to trust Christ as cornerstone rather than leaning on human approval.</w:t>
      </w:r>
    </w:p>
    <w:p>
      <w:pPr>
        <w:pStyle w:val="Heading2"/>
      </w:pPr>
      <w:r>
        <w:t>Optional Leader Notes</w:t>
      </w:r>
    </w:p>
    <w:p>
      <w:r>
        <w:rPr>
          <w:b/>
        </w:rPr>
        <w:t xml:space="preserve">Keep the discussion anchored in Psalm 118 and the New Testament use of the psalm. </w:t>
      </w:r>
      <w:r>
        <w:t>The goal is not merely to enjoy a familiar line, but to see how Watts turns the psalm into Christian worship centered on the risen Christ.</w:t>
      </w:r>
    </w:p>
    <w:p>
      <w:pPr>
        <w:pStyle w:val="Heading2"/>
      </w:pPr>
      <w:r>
        <w:t>Closing Prayer</w:t>
      </w:r>
    </w:p>
    <w:p>
      <w:r>
        <w:t>Risen Lord Jesus, you are the cornerstone rejected by men and chosen by God. Teach us to rejoice in the day of your victory. Make our worship grateful, our faith steady, and our praise faithful until earth’s song is gathered into heaven’s praise. Amen.</w:t>
      </w:r>
    </w:p>
    <w:p>
      <w:pPr>
        <w:spacing w:before="120"/>
        <w:jc w:val="center"/>
      </w:pPr>
      <w:r>
        <w:rPr>
          <w:color w:val="6E6450"/>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60"/>
      <w:outlineLvl w:val="0"/>
    </w:pPr>
    <w:rPr>
      <w:rFonts w:asciiTheme="majorHAnsi" w:eastAsiaTheme="majorEastAsia" w:hAnsiTheme="majorHAnsi" w:cstheme="majorBidi" w:ascii="Aptos Display" w:hAnsi="Aptos Display"/>
      <w:b/>
      <w:bCs/>
      <w:color w:val="5F3C0F"/>
      <w:sz w:val="34"/>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Theme="majorHAnsi" w:eastAsiaTheme="majorEastAsia" w:hAnsiTheme="majorHAnsi" w:cstheme="majorBidi" w:ascii="Aptos Display" w:hAnsi="Aptos Display"/>
      <w:b/>
      <w:bCs/>
      <w:color w:val="7D5018"/>
      <w:sz w:val="25"/>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Theme="majorHAnsi" w:eastAsiaTheme="majorEastAsia" w:hAnsiTheme="majorHAnsi" w:cstheme="majorBidi" w:ascii="Aptos" w:hAnsi="Aptos"/>
      <w:b/>
      <w:bCs/>
      <w:color w:val="5A411E"/>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Day the Lord Hath Made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