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402D1F"/>
          <w:sz w:val="40"/>
        </w:rPr>
        <w:t>Happy the Home When God Is There</w:t>
      </w:r>
    </w:p>
    <w:p>
      <w:pPr>
        <w:jc w:val="center"/>
      </w:pPr>
      <w:r>
        <w:rPr>
          <w:i/>
          <w:color w:val="88542D"/>
          <w:sz w:val="20"/>
        </w:rPr>
        <w:t>Sermon Outline</w:t>
      </w:r>
    </w:p>
    <w:p>
      <w:pPr>
        <w:jc w:val="center"/>
      </w:pPr>
      <w:r>
        <w:drawing>
          <wp:inline xmlns:a="http://schemas.openxmlformats.org/drawingml/2006/main" xmlns:pic="http://schemas.openxmlformats.org/drawingml/2006/picture">
            <wp:extent cx="6126480" cy="3446145"/>
            <wp:docPr id="1" name="Picture 1"/>
            <wp:cNvGraphicFramePr>
              <a:graphicFrameLocks noChangeAspect="1"/>
            </wp:cNvGraphicFramePr>
            <a:graphic>
              <a:graphicData uri="http://schemas.openxmlformats.org/drawingml/2006/picture">
                <pic:pic>
                  <pic:nvPicPr>
                    <pic:cNvPr id="0" name="Happy the Home When God Is There Teaching Graphic.jpg"/>
                    <pic:cNvPicPr/>
                  </pic:nvPicPr>
                  <pic:blipFill>
                    <a:blip r:embed="rId10"/>
                    <a:stretch>
                      <a:fillRect/>
                    </a:stretch>
                  </pic:blipFill>
                  <pic:spPr>
                    <a:xfrm>
                      <a:off x="0" y="0"/>
                      <a:ext cx="6126480" cy="3446145"/>
                    </a:xfrm>
                    <a:prstGeom prst="rect"/>
                  </pic:spPr>
                </pic:pic>
              </a:graphicData>
            </a:graphic>
          </wp:inline>
        </w:drawing>
      </w:r>
    </w:p>
    <w:p>
      <w:pPr>
        <w:pStyle w:val="Heading1"/>
      </w:pPr>
      <w:r>
        <w:t>Sermon Title</w:t>
      </w:r>
    </w:p>
    <w:p>
      <w:r>
        <w:t>Happy the Home When God Is There: When God Makes a Home Happy</w:t>
      </w:r>
    </w:p>
    <w:p>
      <w:pPr>
        <w:pStyle w:val="Heading1"/>
      </w:pPr>
      <w:r>
        <w:t>Main Text and Supporting Scriptures</w:t>
      </w:r>
    </w:p>
    <w:p>
      <w:r>
        <w:t>Main text: Deuteronomy 6:6-7. Supporting texts: Joshua 24:15; Psalm 128:1-4; Colossians 3:16-17; 1 Corinthians 13:4-7; John 17:23.</w:t>
      </w:r>
    </w:p>
    <w:p>
      <w:pPr>
        <w:pStyle w:val="Heading1"/>
      </w:pPr>
      <w:r>
        <w:t>Big Idea / Central Proposition</w:t>
      </w:r>
    </w:p>
    <w:p>
      <w:r>
        <w:t>A truly happy home is not a perfect home, but a God-centered home where Christ is treasured, Scripture is loved, prayer is practiced, and love becomes visible in daily relationships.</w:t>
      </w:r>
    </w:p>
    <w:p>
      <w:pPr>
        <w:pStyle w:val="Heading2"/>
      </w:pPr>
      <w:r>
        <w:t>Data Note</w:t>
      </w:r>
    </w:p>
    <w:p>
      <w:r>
        <w:rPr>
          <w:b/>
        </w:rPr>
        <w:t xml:space="preserve">Verified from source data: </w:t>
      </w:r>
      <w:r>
        <w:t>The hymn is widely attributed to Henry Ware Jr., but the earliest known publication in 1846 was posthumous and signed “Mrs. W.” ST. AGNES by John Bacchus Dykes is a common tune, but it was composed for another hymn and first published in 1866. Therefore attribution and tune details should be stated with the caution supplied in the JSON.</w:t>
      </w:r>
    </w:p>
    <w:p>
      <w:pPr>
        <w:pStyle w:val="Heading1"/>
      </w:pPr>
      <w:r>
        <w:t>Introduction</w:t>
      </w:r>
    </w:p>
    <w:p>
      <w:r>
        <w:t>Many people long for a peaceful home, but peace cannot be reduced to good manners, financial stability, or a quiet schedule. This hymn leads us deeper. It teaches that the blessed home is one where God is present, Jesus is dear, prayer and Scripture are ordinary, and love to God becomes love toward all. This sermon should be preached with pastoral sensitivity, because not every listener has known a safe or intact home. The hymn is not a weapon of shame; it is a prayer for grace.</w:t>
      </w:r>
    </w:p>
    <w:p>
      <w:pPr>
        <w:pStyle w:val="Heading1"/>
      </w:pPr>
      <w:r>
        <w:t>1. A God-centered home is marked by His presence and love.</w:t>
      </w:r>
    </w:p>
    <w:p>
      <w:r>
        <w:rPr>
          <w:b/>
        </w:rPr>
        <w:t xml:space="preserve">Explanation: </w:t>
      </w:r>
      <w:r>
        <w:t>The hymn begins with the simplest and deepest claim: the home is happy when God is there. This is not sentimental language; it is a confession that the household belongs to the Lord.</w:t>
      </w:r>
    </w:p>
    <w:p>
      <w:r>
        <w:rPr>
          <w:b/>
        </w:rPr>
        <w:t xml:space="preserve">Hymn connection: </w:t>
      </w:r>
      <w:r>
        <w:t>Stanza 1 connects God’s presence with love filling every heart and shared prayer.</w:t>
      </w:r>
    </w:p>
    <w:p>
      <w:r>
        <w:rPr>
          <w:b/>
        </w:rPr>
        <w:t xml:space="preserve">Biblical support: </w:t>
      </w:r>
      <w:r>
        <w:t>Joshua 24:15; Psalm 128:1-4</w:t>
      </w:r>
    </w:p>
    <w:p>
      <w:r>
        <w:rPr>
          <w:b/>
        </w:rPr>
        <w:t xml:space="preserve">Illustration idea: </w:t>
      </w:r>
      <w:r>
        <w:t>Describe the difference between a house that is decorated for faith and a household that is directed by faith.</w:t>
      </w:r>
    </w:p>
    <w:p>
      <w:r>
        <w:rPr>
          <w:b/>
        </w:rPr>
        <w:t xml:space="preserve">Application: </w:t>
      </w:r>
      <w:r>
        <w:t>Ask: What decisions, conversations, and priorities show that God is welcome here?</w:t>
      </w:r>
    </w:p>
    <w:p>
      <w:pPr>
        <w:pStyle w:val="Heading1"/>
      </w:pPr>
      <w:r>
        <w:t>2. A Christ-centered home speaks the name of Jesus with warmth.</w:t>
      </w:r>
    </w:p>
    <w:p>
      <w:r>
        <w:rPr>
          <w:b/>
        </w:rPr>
        <w:t xml:space="preserve">Explanation: </w:t>
      </w:r>
      <w:r>
        <w:t>The second stanza places the name of Jesus at the center of both childhood and parenthood. Faith is not merely inherited; it is spoken, sung, modeled, and cherished.</w:t>
      </w:r>
    </w:p>
    <w:p>
      <w:r>
        <w:rPr>
          <w:b/>
        </w:rPr>
        <w:t xml:space="preserve">Hymn connection: </w:t>
      </w:r>
      <w:r>
        <w:t>Stanza 2 says Jesus’ name is sweet to every ear, with children and parents both included.</w:t>
      </w:r>
    </w:p>
    <w:p>
      <w:r>
        <w:rPr>
          <w:b/>
        </w:rPr>
        <w:t xml:space="preserve">Biblical support: </w:t>
      </w:r>
      <w:r>
        <w:t>Deuteronomy 6:6-7; Colossians 3:16</w:t>
      </w:r>
    </w:p>
    <w:p>
      <w:r>
        <w:rPr>
          <w:b/>
        </w:rPr>
        <w:t xml:space="preserve">Illustration idea: </w:t>
      </w:r>
      <w:r>
        <w:t>A child learns language by hearing it often; spiritual language also becomes natural when spoken with joy and sincerity.</w:t>
      </w:r>
    </w:p>
    <w:p>
      <w:r>
        <w:rPr>
          <w:b/>
        </w:rPr>
        <w:t xml:space="preserve">Application: </w:t>
      </w:r>
      <w:r>
        <w:t>Encourage simple, sincere speech about Christ rather than forced religious performance.</w:t>
      </w:r>
    </w:p>
    <w:p>
      <w:pPr>
        <w:pStyle w:val="Heading1"/>
      </w:pPr>
      <w:r>
        <w:t>3. A discipling home gives ordinary place to prayer, praise, and Scripture.</w:t>
      </w:r>
    </w:p>
    <w:p>
      <w:r>
        <w:rPr>
          <w:b/>
        </w:rPr>
        <w:t xml:space="preserve">Explanation: </w:t>
      </w:r>
      <w:r>
        <w:t>The hymn assumes that prayer, praise, and the Word belong in everyday life. The sacred Word is not only respected; it is loved and prized.</w:t>
      </w:r>
    </w:p>
    <w:p>
      <w:r>
        <w:rPr>
          <w:b/>
        </w:rPr>
        <w:t xml:space="preserve">Hymn connection: </w:t>
      </w:r>
      <w:r>
        <w:t>Stanza 3 names prayer, praise, and Scripture as household practices.</w:t>
      </w:r>
    </w:p>
    <w:p>
      <w:r>
        <w:rPr>
          <w:b/>
        </w:rPr>
        <w:t xml:space="preserve">Biblical support: </w:t>
      </w:r>
      <w:r>
        <w:t>Colossians 3:16-17; Deuteronomy 6:6-7</w:t>
      </w:r>
    </w:p>
    <w:p>
      <w:r>
        <w:rPr>
          <w:b/>
        </w:rPr>
        <w:t xml:space="preserve">Illustration idea: </w:t>
      </w:r>
      <w:r>
        <w:t>A kitchen table, bedside, or car ride can become a classroom of discipleship.</w:t>
      </w:r>
    </w:p>
    <w:p>
      <w:r>
        <w:rPr>
          <w:b/>
        </w:rPr>
        <w:t xml:space="preserve">Application: </w:t>
      </w:r>
      <w:r>
        <w:t>Begin with a manageable rhythm: one Scripture, one prayer, one hymn or song.</w:t>
      </w:r>
    </w:p>
    <w:p>
      <w:pPr>
        <w:pStyle w:val="Heading1"/>
      </w:pPr>
      <w:r>
        <w:t>4. A gospel-shaped home receives love from God and extends love to all.</w:t>
      </w:r>
    </w:p>
    <w:p>
      <w:r>
        <w:rPr>
          <w:b/>
        </w:rPr>
        <w:t xml:space="preserve">Explanation: </w:t>
      </w:r>
      <w:r>
        <w:t>The final stanza turns description into prayer. We do not produce holy love by willpower alone. We ask the Lord to unite our hearts in love to Him.</w:t>
      </w:r>
    </w:p>
    <w:p>
      <w:r>
        <w:rPr>
          <w:b/>
        </w:rPr>
        <w:t xml:space="preserve">Hymn connection: </w:t>
      </w:r>
      <w:r>
        <w:t>Stanza 4 prays for unity in love to God so that love toward all may reign.</w:t>
      </w:r>
    </w:p>
    <w:p>
      <w:r>
        <w:rPr>
          <w:b/>
        </w:rPr>
        <w:t xml:space="preserve">Biblical support: </w:t>
      </w:r>
      <w:r>
        <w:t>1 Corinthians 13:4-7; John 17:23</w:t>
      </w:r>
    </w:p>
    <w:p>
      <w:r>
        <w:rPr>
          <w:b/>
        </w:rPr>
        <w:t xml:space="preserve">Illustration idea: </w:t>
      </w:r>
      <w:r>
        <w:t>A home may be orderly but cold; the gospel creates patient, forgiving, enduring love.</w:t>
      </w:r>
    </w:p>
    <w:p>
      <w:r>
        <w:rPr>
          <w:b/>
        </w:rPr>
        <w:t xml:space="preserve">Application: </w:t>
      </w:r>
      <w:r>
        <w:t>Invite listeners to practice repentance, forgiveness, and hospitality as fruits of love to God.</w:t>
      </w:r>
    </w:p>
    <w:p>
      <w:pPr>
        <w:pStyle w:val="Heading1"/>
      </w:pPr>
      <w:r>
        <w:t>Christ-Centered Connection</w:t>
      </w:r>
    </w:p>
    <w:p>
      <w:r>
        <w:t>The hymn names Jesus as the One whose name should be sweet in the home. In the gospel, Christ does more than improve family life; He reconciles sinners to God and creates a new household of faith. Through Him, wounded people are welcomed, forgiven people learn to forgive, and lonely people find family among God’s people.</w:t>
      </w:r>
    </w:p>
    <w:p>
      <w:pPr>
        <w:pStyle w:val="Heading1"/>
      </w:pPr>
      <w:r>
        <w:t>Pastoral Applications for Different Listeners</w:t>
      </w:r>
    </w:p>
    <w:p>
      <w:pPr>
        <w:pStyle w:val="ListBullet"/>
      </w:pPr>
      <w:r>
        <w:rPr>
          <w:b/>
        </w:rPr>
        <w:t xml:space="preserve">Anxious: </w:t>
      </w:r>
      <w:r>
        <w:t>God’s presence, not household control, is the foundation of peace.</w:t>
      </w:r>
    </w:p>
    <w:p>
      <w:pPr>
        <w:pStyle w:val="ListBullet"/>
      </w:pPr>
      <w:r>
        <w:rPr>
          <w:b/>
        </w:rPr>
        <w:t xml:space="preserve">Grieving: </w:t>
      </w:r>
      <w:r>
        <w:t>The church can surround wounded households with prayer, presence, and practical love.</w:t>
      </w:r>
    </w:p>
    <w:p>
      <w:pPr>
        <w:pStyle w:val="ListBullet"/>
      </w:pPr>
      <w:r>
        <w:rPr>
          <w:b/>
        </w:rPr>
        <w:t xml:space="preserve">Doubting: </w:t>
      </w:r>
      <w:r>
        <w:t>Start with the name of Jesus and the Word of Christ; do not wait until your home feels perfect.</w:t>
      </w:r>
    </w:p>
    <w:p>
      <w:pPr>
        <w:pStyle w:val="ListBullet"/>
      </w:pPr>
      <w:r>
        <w:rPr>
          <w:b/>
        </w:rPr>
        <w:t xml:space="preserve">Joyful: </w:t>
      </w:r>
      <w:r>
        <w:t>Let thanksgiving become praise and hospitality.</w:t>
      </w:r>
    </w:p>
    <w:p>
      <w:pPr>
        <w:pStyle w:val="ListBullet"/>
      </w:pPr>
      <w:r>
        <w:rPr>
          <w:b/>
        </w:rPr>
        <w:t xml:space="preserve">Serving: </w:t>
      </w:r>
      <w:r>
        <w:t>Domestic faithfulness and ordinary care are meaningful acts of discipleship.</w:t>
      </w:r>
    </w:p>
    <w:p>
      <w:pPr>
        <w:pStyle w:val="ListBullet"/>
      </w:pPr>
      <w:r>
        <w:rPr>
          <w:b/>
        </w:rPr>
        <w:t xml:space="preserve">Suffering: </w:t>
      </w:r>
      <w:r>
        <w:t>The hymn’s vision is a prayer for grace, not an accusation against those in pain.</w:t>
      </w:r>
    </w:p>
    <w:p>
      <w:pPr>
        <w:pStyle w:val="ListBullet"/>
      </w:pPr>
      <w:r>
        <w:rPr>
          <w:b/>
        </w:rPr>
        <w:t xml:space="preserve">Worshiping: </w:t>
      </w:r>
      <w:r>
        <w:t>Let congregational worship overflow into daily household practices.</w:t>
      </w:r>
    </w:p>
    <w:p>
      <w:pPr>
        <w:pStyle w:val="Heading1"/>
      </w:pPr>
      <w:r>
        <w:t>Conclusion and Call to Response</w:t>
      </w:r>
    </w:p>
    <w:p>
      <w:r>
        <w:t>Do not measure your home by an impossible image of perfection. Bring your household, your wounds, your singleness, your marriage, your parenting, your loneliness, and your church family under the gracious rule of Christ. Ask the Lord to make His presence known, His Word loved, prayer heard, praise raised, and love visible.</w:t>
      </w:r>
    </w:p>
    <w:p>
      <w:pPr>
        <w:pStyle w:val="Heading1"/>
      </w:pPr>
      <w:r>
        <w:t>Suggested Closing Prayer</w:t>
      </w:r>
    </w:p>
    <w:p>
      <w:r>
        <w:t>Lord Jesus, make Your name sweet among us. Teach us to welcome Your presence, love Your Word, pray with sincerity, and practice patient love. Heal broken homes, strengthen weary families, and make Your church a true household of faith. Amen.</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05B43"/>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402D1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402D1F"/>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402D1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b/>
      <w:color w:val="402D1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