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jc w:val="center"/>
      </w:pPr>
      <w:r>
        <w:rPr>
          <w:rFonts w:ascii="Aptos Display" w:hAnsi="Aptos Display"/>
          <w:b/>
          <w:color w:val="5F171E"/>
          <w:sz w:val="40"/>
        </w:rPr>
        <w:t>There Is a Fountain Filled with Blood</w:t>
      </w:r>
    </w:p>
    <w:p>
      <w:pPr>
        <w:spacing w:after="40" w:before="0"/>
        <w:jc w:val="center"/>
      </w:pPr>
      <w:r>
        <w:rPr>
          <w:i/>
          <w:color w:val="A1702C"/>
          <w:sz w:val="22"/>
        </w:rPr>
        <w:t>Small Group Handout</w:t>
      </w:r>
    </w:p>
    <w:p>
      <w:pPr>
        <w:spacing w:after="40" w:before="0"/>
      </w:pPr>
    </w:p>
    <w:p>
      <w:pPr>
        <w:spacing w:after="40" w:before="0"/>
      </w:pPr>
      <w:r>
        <w:rPr>
          <w:b/>
          <w:sz w:val="18"/>
        </w:rPr>
        <w:t xml:space="preserve">Purpose: </w:t>
      </w:r>
      <w:r>
        <w:rPr>
          <w:sz w:val="18"/>
        </w:rPr>
        <w:t>To help a group receive this hymn as a confession of cleansing grace, humble repentance, and grateful praise before the cross of Christ.</w:t>
      </w:r>
    </w:p>
    <w:p>
      <w:pPr>
        <w:pStyle w:val="Heading2"/>
        <w:spacing w:after="40" w:before="0"/>
      </w:pPr>
      <w:r>
        <w:rPr>
          <w:sz w:val="23"/>
        </w:rPr>
        <w:t>Opening Reflection</w:t>
      </w:r>
    </w:p>
    <w:p>
      <w:pPr>
        <w:pStyle w:val="ListBullet"/>
        <w:spacing w:after="20" w:before="0"/>
      </w:pPr>
      <w:r>
        <w:rPr>
          <w:sz w:val="18"/>
        </w:rPr>
        <w:t>When have you most needed the assurance that Christ cleanses sin rather than merely improves behavior?</w:t>
      </w:r>
    </w:p>
    <w:p>
      <w:pPr>
        <w:pStyle w:val="ListBullet"/>
        <w:spacing w:after="20" w:before="0"/>
      </w:pPr>
      <w:r>
        <w:rPr>
          <w:sz w:val="18"/>
        </w:rPr>
        <w:t>Why can strong language about the cross feel both difficult and deeply comforting?</w:t>
      </w:r>
    </w:p>
    <w:p>
      <w:pPr>
        <w:pStyle w:val="ListBullet"/>
        <w:spacing w:after="20" w:before="0"/>
      </w:pPr>
      <w:r>
        <w:rPr>
          <w:sz w:val="18"/>
        </w:rPr>
        <w:t>What changes when a congregation sings about redemption with gratitude rather than fear?</w:t>
      </w:r>
    </w:p>
    <w:p>
      <w:pPr>
        <w:pStyle w:val="Heading2"/>
        <w:spacing w:after="40" w:before="0"/>
      </w:pPr>
      <w:r>
        <w:rPr>
          <w:sz w:val="23"/>
        </w:rPr>
        <w:t>Brief Hymn Background</w:t>
      </w:r>
    </w:p>
    <w:p>
      <w:pPr>
        <w:spacing w:after="40" w:before="0"/>
      </w:pPr>
      <w:r>
        <w:rPr>
          <w:b/>
          <w:sz w:val="18"/>
        </w:rPr>
        <w:t xml:space="preserve">William Cowper </w:t>
      </w:r>
      <w:r>
        <w:rPr>
          <w:sz w:val="18"/>
        </w:rPr>
        <w:t xml:space="preserve">(1731-1800), an English poet and hymn writer, wrote this hymn in 1772. It later appeared in </w:t>
      </w:r>
      <w:r>
        <w:rPr>
          <w:i/>
          <w:sz w:val="18"/>
        </w:rPr>
        <w:t>Olney Hymns</w:t>
      </w:r>
      <w:r>
        <w:rPr>
          <w:sz w:val="18"/>
        </w:rPr>
        <w:t xml:space="preserve"> (1779), the collection associated with Cowper and John Newton. In that collection the hymn was headed </w:t>
      </w:r>
      <w:r>
        <w:rPr>
          <w:i/>
          <w:sz w:val="18"/>
        </w:rPr>
        <w:t>Praise for the Fountain Opened</w:t>
      </w:r>
      <w:r>
        <w:rPr>
          <w:sz w:val="18"/>
        </w:rPr>
        <w:t xml:space="preserve"> and connected with Zechariah 13:1. Many American hymnals pair the text with CLEANSING FOUNTAIN, a tune commonly associated with Lowell Mason, though some references treat Mason as arranger or harmonizer of an early American melody.</w:t>
      </w:r>
    </w:p>
    <w:p>
      <w:pPr>
        <w:pStyle w:val="Heading2"/>
        <w:spacing w:after="40" w:before="0"/>
      </w:pPr>
      <w:r>
        <w:rPr>
          <w:sz w:val="23"/>
        </w:rPr>
        <w:t>Primary Scripture and Supporting Passages</w:t>
      </w:r>
    </w:p>
    <w:p>
      <w:pPr>
        <w:pStyle w:val="ListBullet"/>
        <w:spacing w:after="20" w:before="0"/>
      </w:pPr>
      <w:r>
        <w:rPr>
          <w:sz w:val="18"/>
        </w:rPr>
        <w:t>Zechariah 13:1 - a spring opened for sin and uncleanness.</w:t>
      </w:r>
    </w:p>
    <w:p>
      <w:pPr>
        <w:pStyle w:val="ListBullet"/>
        <w:spacing w:after="20" w:before="0"/>
      </w:pPr>
      <w:r>
        <w:rPr>
          <w:sz w:val="18"/>
        </w:rPr>
        <w:t>1 John 1:7 - the blood of Jesus cleanses from all sin.</w:t>
      </w:r>
    </w:p>
    <w:p>
      <w:pPr>
        <w:pStyle w:val="ListBullet"/>
        <w:spacing w:after="20" w:before="0"/>
      </w:pPr>
      <w:r>
        <w:rPr>
          <w:sz w:val="18"/>
        </w:rPr>
        <w:t>1 Peter 1:18-19 - redemption comes through the precious blood of Christ.</w:t>
      </w:r>
    </w:p>
    <w:p>
      <w:pPr>
        <w:pStyle w:val="ListBullet"/>
        <w:spacing w:after="20" w:before="0"/>
      </w:pPr>
      <w:r>
        <w:rPr>
          <w:sz w:val="18"/>
        </w:rPr>
        <w:t>Romans 5:9 - believers are justified by Christ's blood.</w:t>
      </w:r>
    </w:p>
    <w:p>
      <w:pPr>
        <w:pStyle w:val="ListBullet"/>
        <w:spacing w:after="20" w:before="0"/>
      </w:pPr>
      <w:r>
        <w:rPr>
          <w:sz w:val="18"/>
        </w:rPr>
        <w:t>Revelation 7:14 - the redeemed are washed and made clean in the Lamb's blood.</w:t>
      </w:r>
    </w:p>
    <w:p>
      <w:pPr>
        <w:pStyle w:val="Heading2"/>
        <w:spacing w:after="40" w:before="0"/>
      </w:pPr>
      <w:r>
        <w:rPr>
          <w:sz w:val="23"/>
        </w:rPr>
        <w:t>Stanza-by-Stanza Study</w:t>
      </w:r>
    </w:p>
    <w:p>
      <w:pPr>
        <w:pStyle w:val="Heading3"/>
        <w:spacing w:after="40" w:before="0"/>
      </w:pPr>
      <w:r>
        <w:rPr>
          <w:sz w:val="20"/>
        </w:rPr>
        <w:t>1. The Fountain Opened</w:t>
      </w:r>
    </w:p>
    <w:p>
      <w:pPr>
        <w:spacing w:after="40" w:before="0"/>
      </w:pPr>
      <w:r>
        <w:rPr>
          <w:sz w:val="18"/>
        </w:rPr>
        <w:t>The opening image comes from Zechariah: God provides cleansing for sin and uncleanness. The hymn applies that promise to the saving death of Christ.</w:t>
      </w:r>
    </w:p>
    <w:p>
      <w:pPr>
        <w:pStyle w:val="Heading3"/>
        <w:spacing w:after="40" w:before="0"/>
      </w:pPr>
      <w:r>
        <w:rPr>
          <w:sz w:val="20"/>
        </w:rPr>
        <w:t>2. The Sinner Welcomed</w:t>
      </w:r>
    </w:p>
    <w:p>
      <w:pPr>
        <w:spacing w:after="40" w:before="0"/>
      </w:pPr>
      <w:r>
        <w:rPr>
          <w:sz w:val="18"/>
        </w:rPr>
        <w:t>The reference to the dying thief keeps grace personal. No sinner is beyond Christ's mercy when turning to him in faith.</w:t>
      </w:r>
    </w:p>
    <w:p>
      <w:pPr>
        <w:pStyle w:val="Heading3"/>
        <w:spacing w:after="40" w:before="0"/>
      </w:pPr>
      <w:r>
        <w:rPr>
          <w:sz w:val="20"/>
        </w:rPr>
        <w:t>3. The Lamb's Saving Power</w:t>
      </w:r>
    </w:p>
    <w:p>
      <w:pPr>
        <w:spacing w:after="40" w:before="0"/>
      </w:pPr>
      <w:r>
        <w:rPr>
          <w:sz w:val="18"/>
        </w:rPr>
        <w:t>The hymn confesses that Christ's sacrifice is sufficient until the whole redeemed church is finally delivered from sin.</w:t>
      </w:r>
    </w:p>
    <w:p>
      <w:pPr>
        <w:pStyle w:val="Heading3"/>
        <w:spacing w:after="40" w:before="0"/>
      </w:pPr>
      <w:r>
        <w:rPr>
          <w:sz w:val="20"/>
        </w:rPr>
        <w:t>4. Redeeming Love as Life's Theme</w:t>
      </w:r>
    </w:p>
    <w:p>
      <w:pPr>
        <w:spacing w:after="40" w:before="0"/>
      </w:pPr>
      <w:r>
        <w:rPr>
          <w:sz w:val="18"/>
        </w:rPr>
        <w:t>The singer moves from doctrine to testimony: the cross becomes the theme of a grateful life.</w:t>
      </w:r>
    </w:p>
    <w:p>
      <w:pPr>
        <w:pStyle w:val="Heading3"/>
        <w:spacing w:after="40" w:before="0"/>
      </w:pPr>
      <w:r>
        <w:rPr>
          <w:sz w:val="20"/>
        </w:rPr>
        <w:t>5. Praise Beyond Death</w:t>
      </w:r>
    </w:p>
    <w:p>
      <w:pPr>
        <w:spacing w:after="40" w:before="0"/>
      </w:pPr>
      <w:r>
        <w:rPr>
          <w:sz w:val="18"/>
        </w:rPr>
        <w:t>The final movement looks toward eternal worship, where the believer's broken earthly praise becomes a fuller song of salvation.</w:t>
      </w:r>
    </w:p>
    <w:p>
      <w:pPr>
        <w:pStyle w:val="Heading2"/>
        <w:spacing w:after="40" w:before="0"/>
      </w:pPr>
      <w:r>
        <w:rPr>
          <w:sz w:val="23"/>
        </w:rP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E9DDC8"/>
            <w:vAlign w:val="top"/>
          </w:tcPr>
          <w:p>
            <w:pPr>
              <w:spacing w:after="0"/>
            </w:pPr>
            <w:r>
              <w:rPr>
                <w:sz w:val="16"/>
              </w:rPr>
            </w:r>
            <w:r>
              <w:rPr>
                <w:b/>
                <w:color w:val="5F171E"/>
                <w:sz w:val="16"/>
              </w:rPr>
              <w:t>Hymn Theme</w:t>
            </w:r>
          </w:p>
        </w:tc>
        <w:tc>
          <w:tcPr>
            <w:tcW w:type="dxa" w:w="3456"/>
            <w:shd w:fill="E9DDC8"/>
            <w:vAlign w:val="top"/>
          </w:tcPr>
          <w:p>
            <w:pPr>
              <w:spacing w:after="0"/>
            </w:pPr>
            <w:r>
              <w:rPr>
                <w:sz w:val="16"/>
              </w:rPr>
            </w:r>
            <w:r>
              <w:rPr>
                <w:b/>
                <w:color w:val="5F171E"/>
                <w:sz w:val="16"/>
              </w:rPr>
              <w:t>Scripture Connection</w:t>
            </w:r>
          </w:p>
        </w:tc>
        <w:tc>
          <w:tcPr>
            <w:tcW w:type="dxa" w:w="3456"/>
            <w:shd w:fill="E9DDC8"/>
            <w:vAlign w:val="top"/>
          </w:tcPr>
          <w:p>
            <w:pPr>
              <w:spacing w:after="0"/>
            </w:pPr>
            <w:r>
              <w:rPr>
                <w:sz w:val="16"/>
              </w:rPr>
            </w:r>
            <w:r>
              <w:rPr>
                <w:b/>
                <w:color w:val="5F171E"/>
                <w:sz w:val="16"/>
              </w:rPr>
              <w:t>Discussion Prompt</w:t>
            </w:r>
          </w:p>
        </w:tc>
      </w:tr>
      <w:tr>
        <w:tc>
          <w:tcPr>
            <w:tcW w:type="dxa" w:w="3456"/>
            <w:vAlign w:val="top"/>
          </w:tcPr>
          <w:p>
            <w:pPr>
              <w:spacing w:after="0"/>
            </w:pPr>
            <w:r>
              <w:rPr>
                <w:sz w:val="16"/>
              </w:rPr>
            </w:r>
            <w:r>
              <w:rPr>
                <w:b w:val="0"/>
                <w:sz w:val="16"/>
              </w:rPr>
              <w:t>Cleansing grace</w:t>
            </w:r>
          </w:p>
        </w:tc>
        <w:tc>
          <w:tcPr>
            <w:tcW w:type="dxa" w:w="3456"/>
            <w:vAlign w:val="top"/>
          </w:tcPr>
          <w:p>
            <w:pPr>
              <w:spacing w:after="0"/>
            </w:pPr>
            <w:r>
              <w:rPr>
                <w:sz w:val="16"/>
              </w:rPr>
            </w:r>
            <w:r>
              <w:rPr>
                <w:b w:val="0"/>
                <w:sz w:val="16"/>
              </w:rPr>
              <w:t>Zechariah 13:1; 1 John 1:7</w:t>
            </w:r>
          </w:p>
        </w:tc>
        <w:tc>
          <w:tcPr>
            <w:tcW w:type="dxa" w:w="3456"/>
            <w:vAlign w:val="top"/>
          </w:tcPr>
          <w:p>
            <w:pPr>
              <w:spacing w:after="0"/>
            </w:pPr>
            <w:r>
              <w:rPr>
                <w:sz w:val="16"/>
              </w:rPr>
            </w:r>
            <w:r>
              <w:rPr>
                <w:b w:val="0"/>
                <w:sz w:val="16"/>
              </w:rPr>
              <w:t>How does God answer both guilt and uncleanness?</w:t>
            </w:r>
          </w:p>
        </w:tc>
      </w:tr>
      <w:tr>
        <w:tc>
          <w:tcPr>
            <w:tcW w:type="dxa" w:w="3456"/>
            <w:vAlign w:val="top"/>
          </w:tcPr>
          <w:p>
            <w:pPr>
              <w:spacing w:after="0"/>
            </w:pPr>
            <w:r>
              <w:rPr>
                <w:sz w:val="16"/>
              </w:rPr>
            </w:r>
            <w:r>
              <w:rPr>
                <w:b w:val="0"/>
                <w:sz w:val="16"/>
              </w:rPr>
              <w:t>Mercy for sinners</w:t>
            </w:r>
          </w:p>
        </w:tc>
        <w:tc>
          <w:tcPr>
            <w:tcW w:type="dxa" w:w="3456"/>
            <w:vAlign w:val="top"/>
          </w:tcPr>
          <w:p>
            <w:pPr>
              <w:spacing w:after="0"/>
            </w:pPr>
            <w:r>
              <w:rPr>
                <w:sz w:val="16"/>
              </w:rPr>
            </w:r>
            <w:r>
              <w:rPr>
                <w:b w:val="0"/>
                <w:sz w:val="16"/>
              </w:rPr>
              <w:t>Luke 23:39-43; Romans 5:9</w:t>
            </w:r>
          </w:p>
        </w:tc>
        <w:tc>
          <w:tcPr>
            <w:tcW w:type="dxa" w:w="3456"/>
            <w:vAlign w:val="top"/>
          </w:tcPr>
          <w:p>
            <w:pPr>
              <w:spacing w:after="0"/>
            </w:pPr>
            <w:r>
              <w:rPr>
                <w:sz w:val="16"/>
              </w:rPr>
            </w:r>
            <w:r>
              <w:rPr>
                <w:b w:val="0"/>
                <w:sz w:val="16"/>
              </w:rPr>
              <w:t>Why does the dying thief matter for this hymn?</w:t>
            </w:r>
          </w:p>
        </w:tc>
      </w:tr>
      <w:tr>
        <w:tc>
          <w:tcPr>
            <w:tcW w:type="dxa" w:w="3456"/>
            <w:vAlign w:val="top"/>
          </w:tcPr>
          <w:p>
            <w:pPr>
              <w:spacing w:after="0"/>
            </w:pPr>
            <w:r>
              <w:rPr>
                <w:sz w:val="16"/>
              </w:rPr>
            </w:r>
            <w:r>
              <w:rPr>
                <w:b w:val="0"/>
                <w:sz w:val="16"/>
              </w:rPr>
              <w:t>Christ our ransom</w:t>
            </w:r>
          </w:p>
        </w:tc>
        <w:tc>
          <w:tcPr>
            <w:tcW w:type="dxa" w:w="3456"/>
            <w:vAlign w:val="top"/>
          </w:tcPr>
          <w:p>
            <w:pPr>
              <w:spacing w:after="0"/>
            </w:pPr>
            <w:r>
              <w:rPr>
                <w:sz w:val="16"/>
              </w:rPr>
            </w:r>
            <w:r>
              <w:rPr>
                <w:b w:val="0"/>
                <w:sz w:val="16"/>
              </w:rPr>
              <w:t>1 Peter 1:18-19</w:t>
            </w:r>
          </w:p>
        </w:tc>
        <w:tc>
          <w:tcPr>
            <w:tcW w:type="dxa" w:w="3456"/>
            <w:vAlign w:val="top"/>
          </w:tcPr>
          <w:p>
            <w:pPr>
              <w:spacing w:after="0"/>
            </w:pPr>
            <w:r>
              <w:rPr>
                <w:sz w:val="16"/>
              </w:rPr>
            </w:r>
            <w:r>
              <w:rPr>
                <w:b w:val="0"/>
                <w:sz w:val="16"/>
              </w:rPr>
              <w:t>What does redemption cost, and what does it give?</w:t>
            </w:r>
          </w:p>
        </w:tc>
      </w:tr>
      <w:tr>
        <w:tc>
          <w:tcPr>
            <w:tcW w:type="dxa" w:w="3456"/>
            <w:vAlign w:val="top"/>
          </w:tcPr>
          <w:p>
            <w:pPr>
              <w:spacing w:after="0"/>
            </w:pPr>
            <w:r>
              <w:rPr>
                <w:sz w:val="16"/>
              </w:rPr>
            </w:r>
            <w:r>
              <w:rPr>
                <w:b w:val="0"/>
                <w:sz w:val="16"/>
              </w:rPr>
              <w:t>Lifelong praise</w:t>
            </w:r>
          </w:p>
        </w:tc>
        <w:tc>
          <w:tcPr>
            <w:tcW w:type="dxa" w:w="3456"/>
            <w:vAlign w:val="top"/>
          </w:tcPr>
          <w:p>
            <w:pPr>
              <w:spacing w:after="0"/>
            </w:pPr>
            <w:r>
              <w:rPr>
                <w:sz w:val="16"/>
              </w:rPr>
            </w:r>
            <w:r>
              <w:rPr>
                <w:b w:val="0"/>
                <w:sz w:val="16"/>
              </w:rPr>
              <w:t>Revelation 7:14</w:t>
            </w:r>
          </w:p>
        </w:tc>
        <w:tc>
          <w:tcPr>
            <w:tcW w:type="dxa" w:w="3456"/>
            <w:vAlign w:val="top"/>
          </w:tcPr>
          <w:p>
            <w:pPr>
              <w:spacing w:after="0"/>
            </w:pPr>
            <w:r>
              <w:rPr>
                <w:sz w:val="16"/>
              </w:rPr>
            </w:r>
            <w:r>
              <w:rPr>
                <w:b w:val="0"/>
                <w:sz w:val="16"/>
              </w:rPr>
              <w:t>How does worship begin now and continue into eternity?</w:t>
            </w:r>
          </w:p>
        </w:tc>
      </w:tr>
    </w:tbl>
    <w:p>
      <w:pPr>
        <w:pStyle w:val="Heading2"/>
        <w:spacing w:after="40" w:before="0"/>
      </w:pPr>
      <w:r>
        <w:rPr>
          <w:sz w:val="23"/>
        </w:rPr>
        <w:t>Discussion Questions</w:t>
      </w:r>
    </w:p>
    <w:p>
      <w:pPr>
        <w:pStyle w:val="ListBullet"/>
        <w:spacing w:after="20" w:before="0"/>
      </w:pPr>
      <w:r>
        <w:rPr>
          <w:sz w:val="18"/>
        </w:rPr>
        <w:t>What biblical image controls the hymn from beginning to end?</w:t>
      </w:r>
    </w:p>
    <w:p>
      <w:pPr>
        <w:pStyle w:val="ListBullet"/>
        <w:spacing w:after="20" w:before="0"/>
      </w:pPr>
      <w:r>
        <w:rPr>
          <w:sz w:val="18"/>
        </w:rPr>
        <w:t>How does the hymn connect Christ's death with cleansing, pardon, and assurance?</w:t>
      </w:r>
    </w:p>
    <w:p>
      <w:pPr>
        <w:pStyle w:val="ListBullet"/>
        <w:spacing w:after="20" w:before="0"/>
      </w:pPr>
      <w:r>
        <w:rPr>
          <w:sz w:val="18"/>
        </w:rPr>
        <w:t>Why does Cowper move from a biblical image to personal testimony?</w:t>
      </w:r>
    </w:p>
    <w:p>
      <w:pPr>
        <w:pStyle w:val="ListBullet"/>
        <w:spacing w:after="20" w:before="0"/>
      </w:pPr>
      <w:r>
        <w:rPr>
          <w:sz w:val="18"/>
        </w:rPr>
        <w:t>How should churches teach vivid atonement language with reverence and care?</w:t>
      </w:r>
    </w:p>
    <w:p>
      <w:pPr>
        <w:pStyle w:val="ListBullet"/>
        <w:spacing w:after="20" w:before="0"/>
      </w:pPr>
      <w:r>
        <w:rPr>
          <w:sz w:val="18"/>
        </w:rPr>
        <w:t>What does the hymn say to a believer burdened by recurring guilt?</w:t>
      </w:r>
    </w:p>
    <w:p>
      <w:pPr>
        <w:pStyle w:val="ListBullet"/>
        <w:spacing w:after="20" w:before="0"/>
      </w:pPr>
      <w:r>
        <w:rPr>
          <w:sz w:val="18"/>
        </w:rPr>
        <w:t>How can this hymn prepare a congregation for communion or Good Friday?</w:t>
      </w:r>
    </w:p>
    <w:p>
      <w:pPr>
        <w:pStyle w:val="ListBullet"/>
        <w:spacing w:after="20" w:before="0"/>
      </w:pPr>
      <w:r>
        <w:rPr>
          <w:sz w:val="18"/>
        </w:rPr>
        <w:t>What would it mean this week to make redeeming love your theme?</w:t>
      </w:r>
    </w:p>
    <w:p>
      <w:pPr>
        <w:pStyle w:val="Heading2"/>
        <w:spacing w:after="40" w:before="0"/>
      </w:pPr>
      <w:r>
        <w:rPr>
          <w:sz w:val="23"/>
        </w:rPr>
        <w:t>Practice This Week</w:t>
      </w:r>
    </w:p>
    <w:p>
      <w:pPr>
        <w:pStyle w:val="ListBullet"/>
        <w:spacing w:after="20" w:before="0"/>
      </w:pPr>
      <w:r>
        <w:rPr>
          <w:sz w:val="18"/>
        </w:rPr>
        <w:t>Read Zechariah 13:1 and 1 John 1:7 slowly, then pray a prayer of confession and thanksgiving.</w:t>
      </w:r>
    </w:p>
    <w:p>
      <w:pPr>
        <w:pStyle w:val="ListBullet"/>
        <w:spacing w:after="20" w:before="0"/>
      </w:pPr>
      <w:r>
        <w:rPr>
          <w:sz w:val="18"/>
        </w:rPr>
        <w:t>Encourage someone who feels unworthy to return to Christ with trust.</w:t>
      </w:r>
    </w:p>
    <w:p>
      <w:pPr>
        <w:pStyle w:val="ListBullet"/>
        <w:spacing w:after="20" w:before="0"/>
      </w:pPr>
      <w:r>
        <w:rPr>
          <w:sz w:val="18"/>
        </w:rPr>
        <w:t>Before worship, ask God to make the cross more than a doctrine: ask him to make it your song.</w:t>
      </w:r>
    </w:p>
    <w:p>
      <w:pPr>
        <w:pStyle w:val="ListBullet"/>
        <w:spacing w:after="20" w:before="0"/>
      </w:pPr>
      <w:r>
        <w:rPr>
          <w:sz w:val="18"/>
        </w:rPr>
        <w:t>At communion or personal prayer, remember that cleansing is received by faith, not earned by self-repair.</w:t>
      </w:r>
    </w:p>
    <w:p>
      <w:pPr>
        <w:pStyle w:val="Heading2"/>
        <w:spacing w:after="40" w:before="0"/>
      </w:pPr>
      <w:r>
        <w:rPr>
          <w:sz w:val="23"/>
        </w:rPr>
        <w:t>Leader Notes</w:t>
      </w:r>
    </w:p>
    <w:p>
      <w:pPr>
        <w:spacing w:after="40" w:before="0"/>
      </w:pPr>
      <w:r>
        <w:rPr>
          <w:sz w:val="18"/>
        </w:rPr>
        <w:t>Keep the discussion centered on Christ, not on the shock value of the imagery. Help the group see that the hymn is not morbid; it is grateful. Its purpose is to proclaim that Christ truly cleanses sin and brings sinners into praise.</w:t>
      </w:r>
    </w:p>
    <w:p>
      <w:pPr>
        <w:pStyle w:val="Heading2"/>
        <w:spacing w:after="40" w:before="0"/>
      </w:pPr>
      <w:r>
        <w:rPr>
          <w:sz w:val="23"/>
        </w:rPr>
        <w:t>Closing Prayer</w:t>
      </w:r>
    </w:p>
    <w:p>
      <w:pPr>
        <w:spacing w:after="40" w:before="0"/>
      </w:pPr>
      <w:r>
        <w:rPr>
          <w:sz w:val="18"/>
        </w:rPr>
        <w:t>Lord Jesus Christ, Lamb of God, cleanse us from sin, quiet our accusing hearts, and teach us to live in the joy of redeeming love. Give us humble repentance, firm assurance, and grateful praise until we join the fuller song of your redeemed people. Amen.</w:t>
      </w:r>
    </w:p>
    <w:p>
      <w:pPr>
        <w:spacing w:after="40" w:before="0"/>
      </w:pPr>
    </w:p>
    <w:p>
      <w:pPr>
        <w:spacing w:after="40" w:before="0"/>
        <w:jc w:val="center"/>
      </w:pPr>
      <w:r>
        <w:rPr>
          <w:color w:val="5F5F5F"/>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4"/>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A26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F171E"/>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F171E"/>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F171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Is a Fountain Filled with Blood Small Group Handout</dc:title>
  <dc:subject>Hymn study guide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